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2E3843">
      <w:pPr>
        <w:spacing w:line="1100" w:lineRule="exact"/>
        <w:jc w:val="center"/>
        <w:rPr>
          <w:rFonts w:hint="eastAsia" w:ascii="黑体" w:hAnsi="华文宋体" w:eastAsia="黑体"/>
          <w:kern w:val="0"/>
          <w:sz w:val="72"/>
          <w:szCs w:val="72"/>
        </w:rPr>
      </w:pPr>
      <w:r>
        <w:rPr>
          <w:sz w:val="72"/>
        </w:rPr>
        <mc:AlternateContent>
          <mc:Choice Requires="wps">
            <w:drawing>
              <wp:anchor distT="0" distB="0" distL="114300" distR="114300" simplePos="0" relativeHeight="251659264" behindDoc="0" locked="0" layoutInCell="1" allowOverlap="1">
                <wp:simplePos x="0" y="0"/>
                <wp:positionH relativeFrom="column">
                  <wp:posOffset>5503545</wp:posOffset>
                </wp:positionH>
                <wp:positionV relativeFrom="paragraph">
                  <wp:posOffset>-577215</wp:posOffset>
                </wp:positionV>
                <wp:extent cx="1216660" cy="381000"/>
                <wp:effectExtent l="0" t="0" r="2540" b="0"/>
                <wp:wrapNone/>
                <wp:docPr id="1" name="矩形 5"/>
                <wp:cNvGraphicFramePr/>
                <a:graphic xmlns:a="http://schemas.openxmlformats.org/drawingml/2006/main">
                  <a:graphicData uri="http://schemas.microsoft.com/office/word/2010/wordprocessingShape">
                    <wps:wsp>
                      <wps:cNvSpPr/>
                      <wps:spPr>
                        <a:xfrm>
                          <a:off x="0" y="0"/>
                          <a:ext cx="1216660" cy="381000"/>
                        </a:xfrm>
                        <a:prstGeom prst="rect">
                          <a:avLst/>
                        </a:prstGeom>
                        <a:solidFill>
                          <a:srgbClr val="FFFFFF"/>
                        </a:solidFill>
                        <a:ln>
                          <a:noFill/>
                        </a:ln>
                      </wps:spPr>
                      <wps:txbx>
                        <w:txbxContent>
                          <w:p w14:paraId="769F661E">
                            <w:pPr>
                              <w:jc w:val="center"/>
                              <w:rPr>
                                <w:rFonts w:hint="default" w:ascii="宋体" w:hAnsi="宋体" w:eastAsia="宋体" w:cs="宋体"/>
                                <w:sz w:val="32"/>
                                <w:szCs w:val="32"/>
                                <w:lang w:val="en-US" w:eastAsia="zh-CN"/>
                              </w:rPr>
                            </w:pPr>
                            <w:r>
                              <w:rPr>
                                <w:rFonts w:hint="eastAsia" w:ascii="宋体" w:hAnsi="宋体" w:eastAsia="宋体" w:cs="宋体"/>
                                <w:sz w:val="32"/>
                                <w:szCs w:val="32"/>
                                <w:lang w:val="en-US" w:eastAsia="zh-CN"/>
                              </w:rPr>
                              <w:t>CM.15-02</w:t>
                            </w:r>
                          </w:p>
                        </w:txbxContent>
                      </wps:txbx>
                      <wps:bodyPr vert="horz" wrap="square" anchor="t" anchorCtr="0" upright="1"/>
                    </wps:wsp>
                  </a:graphicData>
                </a:graphic>
              </wp:anchor>
            </w:drawing>
          </mc:Choice>
          <mc:Fallback>
            <w:pict>
              <v:rect id="矩形 5" o:spid="_x0000_s1026" o:spt="1" style="position:absolute;left:0pt;margin-left:433.35pt;margin-top:-45.45pt;height:30pt;width:95.8pt;z-index:251659264;mso-width-relative:page;mso-height-relative:page;" fillcolor="#FFFFFF" filled="t" stroked="f" coordsize="21600,21600" o:gfxdata="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px1ef2AAAAAwBAAAPAAAAAAAAAAEA&#10;IAAAACIAAABkcnMvZG93bnJldi54bWxQSwECFAAUAAAACACHTuJAPEnd99YBAACdAwAADgAAAAAA&#10;AAABACAAAAAnAQAAZHJzL2Uyb0RvYy54bWxQSwUGAAAAAAYABgBZAQAAbwUAAAAA&#10;">
                <v:fill on="t" focussize="0,0"/>
                <v:stroke on="f"/>
                <v:imagedata o:title=""/>
                <o:lock v:ext="edit" aspectratio="f"/>
                <v:textbox>
                  <w:txbxContent>
                    <w:p w14:paraId="769F661E">
                      <w:pPr>
                        <w:jc w:val="center"/>
                        <w:rPr>
                          <w:rFonts w:hint="default" w:ascii="宋体" w:hAnsi="宋体" w:eastAsia="宋体" w:cs="宋体"/>
                          <w:sz w:val="32"/>
                          <w:szCs w:val="32"/>
                          <w:lang w:val="en-US" w:eastAsia="zh-CN"/>
                        </w:rPr>
                      </w:pPr>
                      <w:r>
                        <w:rPr>
                          <w:rFonts w:hint="eastAsia" w:ascii="宋体" w:hAnsi="宋体" w:eastAsia="宋体" w:cs="宋体"/>
                          <w:sz w:val="32"/>
                          <w:szCs w:val="32"/>
                          <w:lang w:val="en-US" w:eastAsia="zh-CN"/>
                        </w:rPr>
                        <w:t>CM.15-02</w:t>
                      </w:r>
                    </w:p>
                  </w:txbxContent>
                </v:textbox>
              </v:rect>
            </w:pict>
          </mc:Fallback>
        </mc:AlternateContent>
      </w:r>
    </w:p>
    <w:p w14:paraId="2DE118EC">
      <w:pPr>
        <w:spacing w:line="1100" w:lineRule="exact"/>
        <w:jc w:val="center"/>
        <w:rPr>
          <w:rFonts w:hint="eastAsia" w:ascii="黑体" w:hAnsi="华文宋体" w:eastAsia="黑体"/>
          <w:color w:val="auto"/>
          <w:kern w:val="0"/>
          <w:sz w:val="72"/>
          <w:szCs w:val="72"/>
          <w:lang w:eastAsia="zh-CN"/>
        </w:rPr>
      </w:pPr>
      <w:r>
        <w:rPr>
          <w:rFonts w:hint="eastAsia" w:ascii="黑体" w:hAnsi="华文宋体" w:eastAsia="黑体"/>
          <w:color w:val="auto"/>
          <w:kern w:val="0"/>
          <w:sz w:val="72"/>
          <w:szCs w:val="72"/>
        </w:rPr>
        <w:t>招 标 技 术 文 件</w:t>
      </w:r>
    </w:p>
    <w:p w14:paraId="59C2114C">
      <w:pPr>
        <w:spacing w:line="1100" w:lineRule="exact"/>
        <w:rPr>
          <w:rFonts w:ascii="黑体" w:hAnsi="华文宋体" w:eastAsia="黑体"/>
          <w:color w:val="auto"/>
          <w:kern w:val="0"/>
          <w:sz w:val="80"/>
          <w:szCs w:val="80"/>
        </w:rPr>
      </w:pPr>
    </w:p>
    <w:p w14:paraId="2412B54F">
      <w:pPr>
        <w:spacing w:line="1100" w:lineRule="exact"/>
        <w:rPr>
          <w:rFonts w:ascii="黑体" w:hAnsi="华文宋体" w:eastAsia="黑体"/>
          <w:color w:val="auto"/>
          <w:kern w:val="0"/>
          <w:sz w:val="80"/>
          <w:szCs w:val="80"/>
        </w:rPr>
      </w:pPr>
    </w:p>
    <w:p w14:paraId="1B85B076">
      <w:pPr>
        <w:spacing w:line="1100" w:lineRule="exact"/>
        <w:ind w:firstLine="2520" w:firstLineChars="700"/>
        <w:rPr>
          <w:rFonts w:hint="default" w:ascii="黑体" w:hAnsi="华文宋体" w:eastAsia="黑体"/>
          <w:color w:val="auto"/>
          <w:kern w:val="0"/>
          <w:sz w:val="36"/>
          <w:szCs w:val="36"/>
          <w:lang w:val="en-US" w:eastAsia="zh-CN"/>
        </w:rPr>
      </w:pPr>
      <w:r>
        <w:rPr>
          <w:rFonts w:hint="eastAsia" w:ascii="黑体" w:hAnsi="华文宋体" w:eastAsia="黑体"/>
          <w:color w:val="auto"/>
          <w:kern w:val="0"/>
          <w:sz w:val="36"/>
          <w:szCs w:val="36"/>
        </w:rPr>
        <w:t>招标项目名称：</w:t>
      </w:r>
      <w:r>
        <w:rPr>
          <w:rFonts w:hint="eastAsia" w:ascii="黑体" w:hAnsi="华文宋体" w:eastAsia="黑体"/>
          <w:color w:val="auto"/>
          <w:kern w:val="0"/>
          <w:sz w:val="36"/>
          <w:szCs w:val="36"/>
          <w:lang w:val="en-US" w:eastAsia="zh-CN"/>
        </w:rPr>
        <w:t>AP网络升级</w:t>
      </w:r>
    </w:p>
    <w:p w14:paraId="5619606A">
      <w:pPr>
        <w:spacing w:line="1100" w:lineRule="exact"/>
        <w:ind w:firstLine="2160" w:firstLineChars="600"/>
        <w:rPr>
          <w:rFonts w:hint="default" w:ascii="华文细黑" w:hAnsi="华文细黑" w:eastAsia="黑体"/>
          <w:color w:val="auto"/>
          <w:w w:val="90"/>
          <w:sz w:val="36"/>
          <w:szCs w:val="36"/>
          <w:lang w:val="en-US" w:eastAsia="zh-CN"/>
        </w:rPr>
      </w:pPr>
      <w:r>
        <w:rPr>
          <w:rFonts w:hint="eastAsia" w:ascii="黑体" w:hAnsi="华文宋体" w:eastAsia="黑体"/>
          <w:color w:val="auto"/>
          <w:kern w:val="0"/>
          <w:sz w:val="36"/>
          <w:szCs w:val="36"/>
        </w:rPr>
        <w:t>使用单位：</w:t>
      </w:r>
      <w:r>
        <w:rPr>
          <w:rFonts w:hint="eastAsia" w:ascii="黑体" w:hAnsi="华文宋体" w:eastAsia="黑体"/>
          <w:color w:val="auto"/>
          <w:kern w:val="0"/>
          <w:sz w:val="36"/>
          <w:szCs w:val="36"/>
          <w:lang w:val="en-US" w:eastAsia="zh-CN"/>
        </w:rPr>
        <w:t>轿厢车间</w:t>
      </w:r>
      <w:r>
        <w:rPr>
          <w:rFonts w:hint="eastAsia" w:ascii="黑体" w:hAnsi="华文宋体" w:eastAsia="黑体"/>
          <w:color w:val="auto"/>
          <w:kern w:val="0"/>
          <w:sz w:val="36"/>
          <w:szCs w:val="36"/>
          <w:highlight w:val="none"/>
          <w:lang w:val="en-US" w:eastAsia="zh-CN"/>
        </w:rPr>
        <w:t>&amp;主楼办公室</w:t>
      </w:r>
    </w:p>
    <w:p w14:paraId="093FDCB3">
      <w:pPr>
        <w:spacing w:line="1100" w:lineRule="exact"/>
        <w:jc w:val="center"/>
        <w:rPr>
          <w:rFonts w:ascii="华文细黑" w:hAnsi="华文细黑" w:eastAsia="华文细黑"/>
          <w:color w:val="auto"/>
          <w:w w:val="90"/>
          <w:sz w:val="36"/>
          <w:szCs w:val="36"/>
        </w:rPr>
      </w:pPr>
    </w:p>
    <w:p w14:paraId="0D192FE4">
      <w:pPr>
        <w:spacing w:line="1100" w:lineRule="exact"/>
        <w:jc w:val="center"/>
        <w:rPr>
          <w:rFonts w:ascii="华文细黑" w:hAnsi="华文细黑" w:eastAsia="华文细黑"/>
          <w:color w:val="auto"/>
          <w:w w:val="90"/>
          <w:sz w:val="36"/>
          <w:szCs w:val="36"/>
        </w:rPr>
      </w:pPr>
      <w:bookmarkStart w:id="30" w:name="_GoBack"/>
      <w:bookmarkEnd w:id="30"/>
    </w:p>
    <w:p w14:paraId="6138C4BE">
      <w:pPr>
        <w:spacing w:line="360" w:lineRule="exact"/>
        <w:ind w:firstLine="2340" w:firstLineChars="650"/>
        <w:rPr>
          <w:rFonts w:ascii="宋体" w:hAnsi="宋体"/>
          <w:color w:val="auto"/>
          <w:sz w:val="36"/>
          <w:szCs w:val="36"/>
        </w:rPr>
      </w:pPr>
    </w:p>
    <w:p w14:paraId="0E36CFDA">
      <w:pPr>
        <w:spacing w:line="360" w:lineRule="exact"/>
        <w:ind w:firstLine="2340" w:firstLineChars="650"/>
        <w:rPr>
          <w:rFonts w:ascii="宋体" w:hAnsi="宋体"/>
          <w:color w:val="auto"/>
          <w:sz w:val="36"/>
          <w:szCs w:val="36"/>
        </w:rPr>
      </w:pPr>
    </w:p>
    <w:p w14:paraId="78D318B9">
      <w:pPr>
        <w:spacing w:line="360" w:lineRule="exact"/>
        <w:ind w:firstLine="2340" w:firstLineChars="650"/>
        <w:rPr>
          <w:rFonts w:ascii="宋体" w:hAnsi="宋体"/>
          <w:color w:val="auto"/>
          <w:sz w:val="36"/>
          <w:szCs w:val="36"/>
        </w:rPr>
      </w:pPr>
    </w:p>
    <w:p w14:paraId="55326221">
      <w:pPr>
        <w:spacing w:line="360" w:lineRule="exact"/>
        <w:ind w:firstLine="2340" w:firstLineChars="650"/>
        <w:rPr>
          <w:rFonts w:ascii="宋体" w:hAnsi="宋体"/>
          <w:color w:val="auto"/>
          <w:sz w:val="36"/>
          <w:szCs w:val="36"/>
        </w:rPr>
      </w:pPr>
    </w:p>
    <w:p w14:paraId="6AEDEDC3">
      <w:pPr>
        <w:spacing w:line="360" w:lineRule="auto"/>
        <w:rPr>
          <w:rFonts w:ascii="宋体" w:hAnsi="宋体"/>
          <w:color w:val="auto"/>
          <w:sz w:val="36"/>
          <w:szCs w:val="36"/>
        </w:rPr>
      </w:pPr>
    </w:p>
    <w:p w14:paraId="7D27D7D9">
      <w:pPr>
        <w:spacing w:line="360" w:lineRule="auto"/>
        <w:rPr>
          <w:rFonts w:ascii="宋体" w:hAnsi="宋体"/>
          <w:color w:val="auto"/>
          <w:sz w:val="36"/>
          <w:szCs w:val="36"/>
        </w:rPr>
      </w:pPr>
    </w:p>
    <w:p w14:paraId="66F5DC85">
      <w:pPr>
        <w:spacing w:line="700" w:lineRule="exact"/>
        <w:ind w:firstLine="1800" w:firstLineChars="500"/>
        <w:rPr>
          <w:rFonts w:ascii="黑体" w:hAnsi="华文宋体" w:eastAsia="黑体"/>
          <w:color w:val="auto"/>
          <w:kern w:val="0"/>
          <w:sz w:val="36"/>
          <w:szCs w:val="36"/>
        </w:rPr>
      </w:pPr>
      <w:r>
        <w:rPr>
          <w:rFonts w:hint="eastAsia" w:ascii="黑体" w:hAnsi="华文宋体" w:eastAsia="黑体"/>
          <w:color w:val="auto"/>
          <w:kern w:val="0"/>
          <w:sz w:val="36"/>
          <w:szCs w:val="36"/>
        </w:rPr>
        <w:t>沈阳远大智能工业集团股份有限公司</w:t>
      </w:r>
    </w:p>
    <w:p w14:paraId="5EBAF9EC">
      <w:pPr>
        <w:spacing w:line="700" w:lineRule="exact"/>
        <w:jc w:val="center"/>
        <w:rPr>
          <w:rFonts w:ascii="宋体" w:hAnsi="宋体"/>
          <w:b/>
          <w:color w:val="auto"/>
          <w:sz w:val="32"/>
          <w:szCs w:val="32"/>
        </w:rPr>
      </w:pPr>
    </w:p>
    <w:p w14:paraId="60436036">
      <w:pPr>
        <w:spacing w:line="700" w:lineRule="exact"/>
        <w:ind w:firstLine="3040" w:firstLineChars="950"/>
        <w:jc w:val="both"/>
        <w:rPr>
          <w:rFonts w:ascii="华文中宋" w:hAnsi="华文中宋" w:eastAsia="华文中宋"/>
          <w:color w:val="auto"/>
          <w:sz w:val="32"/>
          <w:szCs w:val="32"/>
        </w:rPr>
      </w:pPr>
      <w:r>
        <w:rPr>
          <w:rFonts w:hint="default" w:ascii="华文中宋" w:hAnsi="华文中宋" w:eastAsia="华文中宋"/>
          <w:color w:val="auto"/>
          <w:sz w:val="32"/>
          <w:szCs w:val="32"/>
        </w:rPr>
        <w:t>__________</w:t>
      </w:r>
      <w:r>
        <w:rPr>
          <w:rFonts w:hint="eastAsia" w:ascii="华文中宋" w:hAnsi="华文中宋" w:eastAsia="华文中宋"/>
          <w:color w:val="auto"/>
          <w:sz w:val="32"/>
          <w:szCs w:val="32"/>
        </w:rPr>
        <w:t>年</w:t>
      </w:r>
      <w:r>
        <w:rPr>
          <w:rFonts w:hint="default" w:ascii="华文中宋" w:hAnsi="华文中宋" w:eastAsia="华文中宋"/>
          <w:color w:val="auto"/>
          <w:sz w:val="32"/>
          <w:szCs w:val="32"/>
        </w:rPr>
        <w:t>_______</w:t>
      </w:r>
      <w:r>
        <w:rPr>
          <w:rFonts w:hint="eastAsia" w:ascii="华文中宋" w:hAnsi="华文中宋" w:eastAsia="华文中宋"/>
          <w:color w:val="auto"/>
          <w:sz w:val="32"/>
          <w:szCs w:val="32"/>
        </w:rPr>
        <w:t>月</w:t>
      </w:r>
    </w:p>
    <w:p w14:paraId="0866FA32">
      <w:pPr>
        <w:jc w:val="center"/>
        <w:rPr>
          <w:rFonts w:hint="eastAsia" w:ascii="宋体" w:hAnsi="宋体"/>
          <w:b/>
          <w:bCs/>
          <w:color w:val="auto"/>
          <w:sz w:val="32"/>
          <w:szCs w:val="18"/>
        </w:rPr>
      </w:pPr>
    </w:p>
    <w:p w14:paraId="164DFE39">
      <w:pPr>
        <w:jc w:val="both"/>
        <w:rPr>
          <w:rFonts w:hint="eastAsia" w:ascii="宋体" w:hAnsi="宋体"/>
          <w:b/>
          <w:bCs/>
          <w:color w:val="auto"/>
          <w:sz w:val="32"/>
          <w:szCs w:val="18"/>
        </w:rPr>
        <w:sectPr>
          <w:headerReference r:id="rId3" w:type="default"/>
          <w:footerReference r:id="rId4" w:type="default"/>
          <w:pgSz w:w="11906" w:h="16838"/>
          <w:pgMar w:top="680" w:right="1134" w:bottom="680" w:left="1134" w:header="567" w:footer="0" w:gutter="0"/>
          <w:cols w:space="720" w:num="1"/>
          <w:docGrid w:type="lines" w:linePitch="312" w:charSpace="0"/>
        </w:sectPr>
      </w:pPr>
    </w:p>
    <w:sdt>
      <w:sdtPr>
        <w:rPr>
          <w:rFonts w:ascii="宋体" w:hAnsi="宋体" w:eastAsia="宋体" w:cs="Times New Roman"/>
          <w:b/>
          <w:bCs/>
          <w:color w:val="auto"/>
          <w:kern w:val="2"/>
          <w:sz w:val="28"/>
          <w:szCs w:val="28"/>
          <w:lang w:val="en-US" w:eastAsia="zh-CN" w:bidi="ar-SA"/>
        </w:rPr>
        <w:id w:val="147476471"/>
        <w15:color w:val="DBDBDB"/>
        <w:docPartObj>
          <w:docPartGallery w:val="Table of Contents"/>
          <w:docPartUnique/>
        </w:docPartObj>
      </w:sdtPr>
      <w:sdtEndPr>
        <w:rPr>
          <w:rFonts w:hint="eastAsia" w:ascii="宋体" w:hAnsi="宋体" w:eastAsia="宋体" w:cs="Times New Roman"/>
          <w:b/>
          <w:bCs/>
          <w:color w:val="auto"/>
          <w:kern w:val="2"/>
          <w:sz w:val="21"/>
          <w:szCs w:val="18"/>
          <w:lang w:val="en-US" w:eastAsia="zh-CN" w:bidi="ar-SA"/>
        </w:rPr>
      </w:sdtEndPr>
      <w:sdtContent>
        <w:p w14:paraId="6B5C8587">
          <w:pPr>
            <w:spacing w:before="0" w:beforeLines="0" w:after="0" w:afterLines="0" w:line="240" w:lineRule="auto"/>
            <w:ind w:left="0" w:leftChars="0" w:right="0" w:rightChars="0" w:firstLine="0" w:firstLineChars="0"/>
            <w:jc w:val="center"/>
            <w:rPr>
              <w:b/>
              <w:bCs/>
              <w:color w:val="auto"/>
              <w:sz w:val="28"/>
              <w:szCs w:val="28"/>
            </w:rPr>
          </w:pPr>
          <w:r>
            <w:rPr>
              <w:rFonts w:ascii="宋体" w:hAnsi="宋体" w:eastAsia="宋体"/>
              <w:b/>
              <w:bCs/>
              <w:color w:val="auto"/>
              <w:sz w:val="28"/>
              <w:szCs w:val="28"/>
            </w:rPr>
            <w:t>目录</w:t>
          </w:r>
        </w:p>
        <w:p w14:paraId="6D5892E4">
          <w:pPr>
            <w:pStyle w:val="16"/>
            <w:tabs>
              <w:tab w:val="right" w:leader="dot" w:pos="9638"/>
            </w:tabs>
            <w:rPr>
              <w:rFonts w:hint="eastAsia" w:ascii="微软雅黑" w:hAnsi="微软雅黑" w:eastAsia="微软雅黑" w:cs="微软雅黑"/>
              <w:color w:val="auto"/>
              <w:sz w:val="21"/>
              <w:szCs w:val="21"/>
            </w:rPr>
          </w:pPr>
          <w:r>
            <w:rPr>
              <w:rFonts w:hint="eastAsia" w:ascii="宋体" w:hAnsi="宋体" w:eastAsia="宋体" w:cs="Times New Roman"/>
              <w:bCs/>
              <w:color w:val="auto"/>
              <w:kern w:val="2"/>
              <w:sz w:val="21"/>
              <w:szCs w:val="18"/>
              <w:lang w:val="en-US" w:eastAsia="zh-CN" w:bidi="ar-SA"/>
            </w:rPr>
            <w:fldChar w:fldCharType="begin"/>
          </w:r>
          <w:r>
            <w:rPr>
              <w:rFonts w:hint="eastAsia" w:ascii="宋体" w:hAnsi="宋体" w:eastAsia="宋体" w:cs="Times New Roman"/>
              <w:bCs/>
              <w:color w:val="auto"/>
              <w:kern w:val="2"/>
              <w:sz w:val="21"/>
              <w:szCs w:val="18"/>
              <w:lang w:val="en-US" w:eastAsia="zh-CN" w:bidi="ar-SA"/>
            </w:rPr>
            <w:instrText xml:space="preserve">TOC \o "1-9" \h \u </w:instrText>
          </w:r>
          <w:r>
            <w:rPr>
              <w:rFonts w:hint="eastAsia" w:ascii="宋体" w:hAnsi="宋体" w:eastAsia="宋体" w:cs="Times New Roman"/>
              <w:bCs/>
              <w:color w:val="auto"/>
              <w:kern w:val="2"/>
              <w:sz w:val="21"/>
              <w:szCs w:val="18"/>
              <w:lang w:val="en-US" w:eastAsia="zh-CN" w:bidi="ar-SA"/>
            </w:rPr>
            <w:fldChar w:fldCharType="separate"/>
          </w:r>
          <w:r>
            <w:rPr>
              <w:rFonts w:hint="eastAsia" w:ascii="微软雅黑" w:hAnsi="微软雅黑" w:eastAsia="微软雅黑" w:cs="微软雅黑"/>
              <w:bCs/>
              <w:color w:val="auto"/>
              <w:kern w:val="2"/>
              <w:sz w:val="21"/>
              <w:szCs w:val="21"/>
              <w:lang w:val="en-US" w:eastAsia="zh-CN" w:bidi="ar-SA"/>
            </w:rPr>
            <w:fldChar w:fldCharType="begin"/>
          </w:r>
          <w:r>
            <w:rPr>
              <w:rFonts w:hint="eastAsia" w:ascii="微软雅黑" w:hAnsi="微软雅黑" w:eastAsia="微软雅黑" w:cs="微软雅黑"/>
              <w:bCs/>
              <w:color w:val="auto"/>
              <w:kern w:val="2"/>
              <w:sz w:val="21"/>
              <w:szCs w:val="21"/>
              <w:lang w:val="en-US" w:eastAsia="zh-CN" w:bidi="ar-SA"/>
            </w:rPr>
            <w:instrText xml:space="preserve"> HYPERLINK \l _Toc5869 </w:instrText>
          </w:r>
          <w:r>
            <w:rPr>
              <w:rFonts w:hint="eastAsia" w:ascii="微软雅黑" w:hAnsi="微软雅黑" w:eastAsia="微软雅黑" w:cs="微软雅黑"/>
              <w:bCs/>
              <w:color w:val="auto"/>
              <w:kern w:val="2"/>
              <w:sz w:val="21"/>
              <w:szCs w:val="21"/>
              <w:lang w:val="en-US" w:eastAsia="zh-CN" w:bidi="ar-SA"/>
            </w:rPr>
            <w:fldChar w:fldCharType="separate"/>
          </w:r>
          <w:r>
            <w:rPr>
              <w:rFonts w:hint="eastAsia" w:ascii="微软雅黑" w:hAnsi="微软雅黑" w:eastAsia="微软雅黑" w:cs="微软雅黑"/>
              <w:color w:val="auto"/>
              <w:sz w:val="21"/>
              <w:szCs w:val="21"/>
            </w:rPr>
            <w:t>一、 项目概况：</w:t>
          </w:r>
          <w:r>
            <w:rPr>
              <w:rFonts w:hint="eastAsia" w:ascii="微软雅黑" w:hAnsi="微软雅黑" w:eastAsia="微软雅黑" w:cs="微软雅黑"/>
              <w:color w:val="auto"/>
              <w:sz w:val="21"/>
              <w:szCs w:val="21"/>
            </w:rPr>
            <w:tab/>
          </w:r>
          <w:r>
            <w:rPr>
              <w:rFonts w:hint="eastAsia" w:ascii="微软雅黑" w:hAnsi="微软雅黑" w:eastAsia="微软雅黑" w:cs="微软雅黑"/>
              <w:color w:val="auto"/>
              <w:sz w:val="21"/>
              <w:szCs w:val="21"/>
            </w:rPr>
            <w:fldChar w:fldCharType="begin"/>
          </w:r>
          <w:r>
            <w:rPr>
              <w:rFonts w:hint="eastAsia" w:ascii="微软雅黑" w:hAnsi="微软雅黑" w:eastAsia="微软雅黑" w:cs="微软雅黑"/>
              <w:color w:val="auto"/>
              <w:sz w:val="21"/>
              <w:szCs w:val="21"/>
            </w:rPr>
            <w:instrText xml:space="preserve"> PAGEREF _Toc5869 \h </w:instrText>
          </w:r>
          <w:r>
            <w:rPr>
              <w:rFonts w:hint="eastAsia" w:ascii="微软雅黑" w:hAnsi="微软雅黑" w:eastAsia="微软雅黑" w:cs="微软雅黑"/>
              <w:color w:val="auto"/>
              <w:sz w:val="21"/>
              <w:szCs w:val="21"/>
            </w:rPr>
            <w:fldChar w:fldCharType="separate"/>
          </w:r>
          <w:r>
            <w:rPr>
              <w:rFonts w:hint="eastAsia" w:ascii="微软雅黑" w:hAnsi="微软雅黑" w:eastAsia="微软雅黑" w:cs="微软雅黑"/>
              <w:color w:val="auto"/>
              <w:sz w:val="21"/>
              <w:szCs w:val="21"/>
            </w:rPr>
            <w:t>3</w:t>
          </w:r>
          <w:r>
            <w:rPr>
              <w:rFonts w:hint="eastAsia" w:ascii="微软雅黑" w:hAnsi="微软雅黑" w:eastAsia="微软雅黑" w:cs="微软雅黑"/>
              <w:color w:val="auto"/>
              <w:sz w:val="21"/>
              <w:szCs w:val="21"/>
            </w:rPr>
            <w:fldChar w:fldCharType="end"/>
          </w:r>
          <w:r>
            <w:rPr>
              <w:rFonts w:hint="eastAsia" w:ascii="微软雅黑" w:hAnsi="微软雅黑" w:eastAsia="微软雅黑" w:cs="微软雅黑"/>
              <w:bCs/>
              <w:color w:val="auto"/>
              <w:kern w:val="2"/>
              <w:sz w:val="21"/>
              <w:szCs w:val="21"/>
              <w:lang w:val="en-US" w:eastAsia="zh-CN" w:bidi="ar-SA"/>
            </w:rPr>
            <w:fldChar w:fldCharType="end"/>
          </w:r>
        </w:p>
        <w:p w14:paraId="20A1C581">
          <w:pPr>
            <w:pStyle w:val="16"/>
            <w:tabs>
              <w:tab w:val="right" w:leader="dot" w:pos="9638"/>
            </w:tabs>
            <w:rPr>
              <w:rFonts w:hint="eastAsia" w:ascii="微软雅黑" w:hAnsi="微软雅黑" w:eastAsia="微软雅黑" w:cs="微软雅黑"/>
              <w:color w:val="auto"/>
              <w:sz w:val="21"/>
              <w:szCs w:val="21"/>
            </w:rPr>
          </w:pPr>
          <w:r>
            <w:rPr>
              <w:rFonts w:hint="eastAsia" w:ascii="微软雅黑" w:hAnsi="微软雅黑" w:eastAsia="微软雅黑" w:cs="微软雅黑"/>
              <w:bCs/>
              <w:color w:val="auto"/>
              <w:kern w:val="2"/>
              <w:sz w:val="21"/>
              <w:szCs w:val="21"/>
              <w:lang w:val="en-US" w:eastAsia="zh-CN" w:bidi="ar-SA"/>
            </w:rPr>
            <w:fldChar w:fldCharType="begin"/>
          </w:r>
          <w:r>
            <w:rPr>
              <w:rFonts w:hint="eastAsia" w:ascii="微软雅黑" w:hAnsi="微软雅黑" w:eastAsia="微软雅黑" w:cs="微软雅黑"/>
              <w:bCs/>
              <w:color w:val="auto"/>
              <w:kern w:val="2"/>
              <w:sz w:val="21"/>
              <w:szCs w:val="21"/>
              <w:lang w:val="en-US" w:eastAsia="zh-CN" w:bidi="ar-SA"/>
            </w:rPr>
            <w:instrText xml:space="preserve"> HYPERLINK \l _Toc24194 </w:instrText>
          </w:r>
          <w:r>
            <w:rPr>
              <w:rFonts w:hint="eastAsia" w:ascii="微软雅黑" w:hAnsi="微软雅黑" w:eastAsia="微软雅黑" w:cs="微软雅黑"/>
              <w:bCs/>
              <w:color w:val="auto"/>
              <w:kern w:val="2"/>
              <w:sz w:val="21"/>
              <w:szCs w:val="21"/>
              <w:lang w:val="en-US" w:eastAsia="zh-CN" w:bidi="ar-SA"/>
            </w:rPr>
            <w:fldChar w:fldCharType="separate"/>
          </w:r>
          <w:r>
            <w:rPr>
              <w:rFonts w:hint="eastAsia" w:ascii="微软雅黑" w:hAnsi="微软雅黑" w:eastAsia="微软雅黑" w:cs="微软雅黑"/>
              <w:color w:val="auto"/>
              <w:sz w:val="21"/>
              <w:szCs w:val="21"/>
              <w:lang w:val="en-US" w:eastAsia="zh-CN"/>
            </w:rPr>
            <w:t>二、</w:t>
          </w:r>
          <w:r>
            <w:rPr>
              <w:rFonts w:hint="eastAsia" w:ascii="微软雅黑" w:hAnsi="微软雅黑" w:eastAsia="微软雅黑" w:cs="微软雅黑"/>
              <w:color w:val="auto"/>
              <w:sz w:val="21"/>
              <w:szCs w:val="21"/>
            </w:rPr>
            <w:t>设备技术性能参数详细要求 ：</w:t>
          </w:r>
          <w:r>
            <w:rPr>
              <w:rFonts w:hint="eastAsia" w:ascii="微软雅黑" w:hAnsi="微软雅黑" w:eastAsia="微软雅黑" w:cs="微软雅黑"/>
              <w:color w:val="auto"/>
              <w:sz w:val="21"/>
              <w:szCs w:val="21"/>
            </w:rPr>
            <w:tab/>
          </w:r>
          <w:r>
            <w:rPr>
              <w:rFonts w:hint="eastAsia" w:ascii="微软雅黑" w:hAnsi="微软雅黑" w:eastAsia="微软雅黑" w:cs="微软雅黑"/>
              <w:color w:val="auto"/>
              <w:sz w:val="21"/>
              <w:szCs w:val="21"/>
            </w:rPr>
            <w:fldChar w:fldCharType="begin"/>
          </w:r>
          <w:r>
            <w:rPr>
              <w:rFonts w:hint="eastAsia" w:ascii="微软雅黑" w:hAnsi="微软雅黑" w:eastAsia="微软雅黑" w:cs="微软雅黑"/>
              <w:color w:val="auto"/>
              <w:sz w:val="21"/>
              <w:szCs w:val="21"/>
            </w:rPr>
            <w:instrText xml:space="preserve"> PAGEREF _Toc24194 \h </w:instrText>
          </w:r>
          <w:r>
            <w:rPr>
              <w:rFonts w:hint="eastAsia" w:ascii="微软雅黑" w:hAnsi="微软雅黑" w:eastAsia="微软雅黑" w:cs="微软雅黑"/>
              <w:color w:val="auto"/>
              <w:sz w:val="21"/>
              <w:szCs w:val="21"/>
            </w:rPr>
            <w:fldChar w:fldCharType="separate"/>
          </w:r>
          <w:r>
            <w:rPr>
              <w:rFonts w:hint="eastAsia" w:ascii="微软雅黑" w:hAnsi="微软雅黑" w:eastAsia="微软雅黑" w:cs="微软雅黑"/>
              <w:color w:val="auto"/>
              <w:sz w:val="21"/>
              <w:szCs w:val="21"/>
            </w:rPr>
            <w:t>3</w:t>
          </w:r>
          <w:r>
            <w:rPr>
              <w:rFonts w:hint="eastAsia" w:ascii="微软雅黑" w:hAnsi="微软雅黑" w:eastAsia="微软雅黑" w:cs="微软雅黑"/>
              <w:color w:val="auto"/>
              <w:sz w:val="21"/>
              <w:szCs w:val="21"/>
            </w:rPr>
            <w:fldChar w:fldCharType="end"/>
          </w:r>
          <w:r>
            <w:rPr>
              <w:rFonts w:hint="eastAsia" w:ascii="微软雅黑" w:hAnsi="微软雅黑" w:eastAsia="微软雅黑" w:cs="微软雅黑"/>
              <w:bCs/>
              <w:color w:val="auto"/>
              <w:kern w:val="2"/>
              <w:sz w:val="21"/>
              <w:szCs w:val="21"/>
              <w:lang w:val="en-US" w:eastAsia="zh-CN" w:bidi="ar-SA"/>
            </w:rPr>
            <w:fldChar w:fldCharType="end"/>
          </w:r>
        </w:p>
        <w:p w14:paraId="2545F394">
          <w:pPr>
            <w:pStyle w:val="16"/>
            <w:tabs>
              <w:tab w:val="right" w:leader="dot" w:pos="9638"/>
            </w:tabs>
            <w:rPr>
              <w:rFonts w:hint="eastAsia" w:ascii="微软雅黑" w:hAnsi="微软雅黑" w:eastAsia="微软雅黑" w:cs="微软雅黑"/>
              <w:color w:val="auto"/>
              <w:sz w:val="21"/>
              <w:szCs w:val="21"/>
            </w:rPr>
          </w:pPr>
          <w:r>
            <w:rPr>
              <w:rFonts w:hint="eastAsia" w:ascii="微软雅黑" w:hAnsi="微软雅黑" w:eastAsia="微软雅黑" w:cs="微软雅黑"/>
              <w:bCs/>
              <w:color w:val="auto"/>
              <w:kern w:val="2"/>
              <w:sz w:val="21"/>
              <w:szCs w:val="21"/>
              <w:lang w:val="en-US" w:eastAsia="zh-CN" w:bidi="ar-SA"/>
            </w:rPr>
            <w:fldChar w:fldCharType="begin"/>
          </w:r>
          <w:r>
            <w:rPr>
              <w:rFonts w:hint="eastAsia" w:ascii="微软雅黑" w:hAnsi="微软雅黑" w:eastAsia="微软雅黑" w:cs="微软雅黑"/>
              <w:bCs/>
              <w:color w:val="auto"/>
              <w:kern w:val="2"/>
              <w:sz w:val="21"/>
              <w:szCs w:val="21"/>
              <w:lang w:val="en-US" w:eastAsia="zh-CN" w:bidi="ar-SA"/>
            </w:rPr>
            <w:instrText xml:space="preserve"> HYPERLINK \l _Toc11253 </w:instrText>
          </w:r>
          <w:r>
            <w:rPr>
              <w:rFonts w:hint="eastAsia" w:ascii="微软雅黑" w:hAnsi="微软雅黑" w:eastAsia="微软雅黑" w:cs="微软雅黑"/>
              <w:bCs/>
              <w:color w:val="auto"/>
              <w:kern w:val="2"/>
              <w:sz w:val="21"/>
              <w:szCs w:val="21"/>
              <w:lang w:val="en-US" w:eastAsia="zh-CN" w:bidi="ar-SA"/>
            </w:rPr>
            <w:fldChar w:fldCharType="separate"/>
          </w:r>
          <w:r>
            <w:rPr>
              <w:rFonts w:hint="eastAsia" w:ascii="微软雅黑" w:hAnsi="微软雅黑" w:eastAsia="微软雅黑" w:cs="微软雅黑"/>
              <w:color w:val="auto"/>
              <w:sz w:val="21"/>
              <w:szCs w:val="21"/>
            </w:rPr>
            <w:t>三、设备的</w:t>
          </w:r>
          <w:r>
            <w:rPr>
              <w:rFonts w:hint="eastAsia" w:ascii="微软雅黑" w:hAnsi="微软雅黑" w:eastAsia="微软雅黑" w:cs="微软雅黑"/>
              <w:color w:val="auto"/>
              <w:sz w:val="21"/>
              <w:szCs w:val="21"/>
              <w:lang w:val="en-US" w:eastAsia="zh-CN"/>
            </w:rPr>
            <w:t>部署</w:t>
          </w:r>
          <w:r>
            <w:rPr>
              <w:rFonts w:hint="eastAsia" w:ascii="微软雅黑" w:hAnsi="微软雅黑" w:eastAsia="微软雅黑" w:cs="微软雅黑"/>
              <w:color w:val="auto"/>
              <w:sz w:val="21"/>
              <w:szCs w:val="21"/>
            </w:rPr>
            <w:t>要求</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rPr>
            <w:tab/>
          </w:r>
          <w:r>
            <w:rPr>
              <w:rFonts w:hint="eastAsia" w:ascii="微软雅黑" w:hAnsi="微软雅黑" w:eastAsia="微软雅黑" w:cs="微软雅黑"/>
              <w:color w:val="auto"/>
              <w:sz w:val="21"/>
              <w:szCs w:val="21"/>
            </w:rPr>
            <w:fldChar w:fldCharType="begin"/>
          </w:r>
          <w:r>
            <w:rPr>
              <w:rFonts w:hint="eastAsia" w:ascii="微软雅黑" w:hAnsi="微软雅黑" w:eastAsia="微软雅黑" w:cs="微软雅黑"/>
              <w:color w:val="auto"/>
              <w:sz w:val="21"/>
              <w:szCs w:val="21"/>
            </w:rPr>
            <w:instrText xml:space="preserve"> PAGEREF _Toc11253 \h </w:instrText>
          </w:r>
          <w:r>
            <w:rPr>
              <w:rFonts w:hint="eastAsia" w:ascii="微软雅黑" w:hAnsi="微软雅黑" w:eastAsia="微软雅黑" w:cs="微软雅黑"/>
              <w:color w:val="auto"/>
              <w:sz w:val="21"/>
              <w:szCs w:val="21"/>
            </w:rPr>
            <w:fldChar w:fldCharType="separate"/>
          </w:r>
          <w:r>
            <w:rPr>
              <w:rFonts w:hint="eastAsia" w:ascii="微软雅黑" w:hAnsi="微软雅黑" w:eastAsia="微软雅黑" w:cs="微软雅黑"/>
              <w:color w:val="auto"/>
              <w:sz w:val="21"/>
              <w:szCs w:val="21"/>
            </w:rPr>
            <w:t>5</w:t>
          </w:r>
          <w:r>
            <w:rPr>
              <w:rFonts w:hint="eastAsia" w:ascii="微软雅黑" w:hAnsi="微软雅黑" w:eastAsia="微软雅黑" w:cs="微软雅黑"/>
              <w:color w:val="auto"/>
              <w:sz w:val="21"/>
              <w:szCs w:val="21"/>
            </w:rPr>
            <w:fldChar w:fldCharType="end"/>
          </w:r>
          <w:r>
            <w:rPr>
              <w:rFonts w:hint="eastAsia" w:ascii="微软雅黑" w:hAnsi="微软雅黑" w:eastAsia="微软雅黑" w:cs="微软雅黑"/>
              <w:bCs/>
              <w:color w:val="auto"/>
              <w:kern w:val="2"/>
              <w:sz w:val="21"/>
              <w:szCs w:val="21"/>
              <w:lang w:val="en-US" w:eastAsia="zh-CN" w:bidi="ar-SA"/>
            </w:rPr>
            <w:fldChar w:fldCharType="end"/>
          </w:r>
        </w:p>
        <w:p w14:paraId="415BB4CA">
          <w:pPr>
            <w:pStyle w:val="16"/>
            <w:tabs>
              <w:tab w:val="right" w:leader="dot" w:pos="9638"/>
            </w:tabs>
            <w:rPr>
              <w:rFonts w:hint="eastAsia" w:ascii="微软雅黑" w:hAnsi="微软雅黑" w:eastAsia="微软雅黑" w:cs="微软雅黑"/>
              <w:color w:val="auto"/>
              <w:sz w:val="21"/>
              <w:szCs w:val="21"/>
            </w:rPr>
          </w:pPr>
          <w:r>
            <w:rPr>
              <w:rFonts w:hint="eastAsia" w:ascii="微软雅黑" w:hAnsi="微软雅黑" w:eastAsia="微软雅黑" w:cs="微软雅黑"/>
              <w:bCs/>
              <w:color w:val="auto"/>
              <w:kern w:val="2"/>
              <w:sz w:val="21"/>
              <w:szCs w:val="21"/>
              <w:lang w:val="en-US" w:eastAsia="zh-CN" w:bidi="ar-SA"/>
            </w:rPr>
            <w:fldChar w:fldCharType="begin"/>
          </w:r>
          <w:r>
            <w:rPr>
              <w:rFonts w:hint="eastAsia" w:ascii="微软雅黑" w:hAnsi="微软雅黑" w:eastAsia="微软雅黑" w:cs="微软雅黑"/>
              <w:bCs/>
              <w:color w:val="auto"/>
              <w:kern w:val="2"/>
              <w:sz w:val="21"/>
              <w:szCs w:val="21"/>
              <w:lang w:val="en-US" w:eastAsia="zh-CN" w:bidi="ar-SA"/>
            </w:rPr>
            <w:instrText xml:space="preserve"> HYPERLINK \l _Toc4124 </w:instrText>
          </w:r>
          <w:r>
            <w:rPr>
              <w:rFonts w:hint="eastAsia" w:ascii="微软雅黑" w:hAnsi="微软雅黑" w:eastAsia="微软雅黑" w:cs="微软雅黑"/>
              <w:bCs/>
              <w:color w:val="auto"/>
              <w:kern w:val="2"/>
              <w:sz w:val="21"/>
              <w:szCs w:val="21"/>
              <w:lang w:val="en-US" w:eastAsia="zh-CN" w:bidi="ar-SA"/>
            </w:rPr>
            <w:fldChar w:fldCharType="separate"/>
          </w:r>
          <w:r>
            <w:rPr>
              <w:rFonts w:hint="eastAsia" w:ascii="微软雅黑" w:hAnsi="微软雅黑" w:eastAsia="微软雅黑" w:cs="微软雅黑"/>
              <w:color w:val="auto"/>
              <w:sz w:val="21"/>
              <w:szCs w:val="21"/>
              <w:lang w:val="en-US" w:eastAsia="zh-CN"/>
            </w:rPr>
            <w:t>四、</w:t>
          </w:r>
          <w:r>
            <w:rPr>
              <w:rFonts w:hint="eastAsia" w:ascii="微软雅黑" w:hAnsi="微软雅黑" w:eastAsia="微软雅黑" w:cs="微软雅黑"/>
              <w:color w:val="auto"/>
              <w:sz w:val="21"/>
              <w:szCs w:val="21"/>
            </w:rPr>
            <w:t xml:space="preserve"> </w:t>
          </w:r>
          <w:r>
            <w:rPr>
              <w:rFonts w:hint="eastAsia" w:ascii="微软雅黑" w:hAnsi="微软雅黑" w:eastAsia="微软雅黑" w:cs="微软雅黑"/>
              <w:color w:val="auto"/>
              <w:sz w:val="21"/>
              <w:szCs w:val="21"/>
              <w:lang w:val="en-US" w:eastAsia="zh-CN"/>
            </w:rPr>
            <w:t>厂房</w:t>
          </w:r>
          <w:r>
            <w:rPr>
              <w:rFonts w:hint="eastAsia" w:ascii="微软雅黑" w:hAnsi="微软雅黑" w:eastAsia="微软雅黑" w:cs="微软雅黑"/>
              <w:color w:val="auto"/>
              <w:sz w:val="21"/>
              <w:szCs w:val="21"/>
            </w:rPr>
            <w:t>平面布局图：</w:t>
          </w:r>
          <w:r>
            <w:rPr>
              <w:rFonts w:hint="eastAsia" w:ascii="微软雅黑" w:hAnsi="微软雅黑" w:eastAsia="微软雅黑" w:cs="微软雅黑"/>
              <w:color w:val="auto"/>
              <w:sz w:val="21"/>
              <w:szCs w:val="21"/>
            </w:rPr>
            <w:tab/>
          </w:r>
          <w:r>
            <w:rPr>
              <w:rFonts w:hint="eastAsia" w:ascii="微软雅黑" w:hAnsi="微软雅黑" w:eastAsia="微软雅黑" w:cs="微软雅黑"/>
              <w:color w:val="auto"/>
              <w:sz w:val="21"/>
              <w:szCs w:val="21"/>
            </w:rPr>
            <w:fldChar w:fldCharType="begin"/>
          </w:r>
          <w:r>
            <w:rPr>
              <w:rFonts w:hint="eastAsia" w:ascii="微软雅黑" w:hAnsi="微软雅黑" w:eastAsia="微软雅黑" w:cs="微软雅黑"/>
              <w:color w:val="auto"/>
              <w:sz w:val="21"/>
              <w:szCs w:val="21"/>
            </w:rPr>
            <w:instrText xml:space="preserve"> PAGEREF _Toc4124 \h </w:instrText>
          </w:r>
          <w:r>
            <w:rPr>
              <w:rFonts w:hint="eastAsia" w:ascii="微软雅黑" w:hAnsi="微软雅黑" w:eastAsia="微软雅黑" w:cs="微软雅黑"/>
              <w:color w:val="auto"/>
              <w:sz w:val="21"/>
              <w:szCs w:val="21"/>
            </w:rPr>
            <w:fldChar w:fldCharType="separate"/>
          </w:r>
          <w:r>
            <w:rPr>
              <w:rFonts w:hint="eastAsia" w:ascii="微软雅黑" w:hAnsi="微软雅黑" w:eastAsia="微软雅黑" w:cs="微软雅黑"/>
              <w:color w:val="auto"/>
              <w:sz w:val="21"/>
              <w:szCs w:val="21"/>
            </w:rPr>
            <w:t>6</w:t>
          </w:r>
          <w:r>
            <w:rPr>
              <w:rFonts w:hint="eastAsia" w:ascii="微软雅黑" w:hAnsi="微软雅黑" w:eastAsia="微软雅黑" w:cs="微软雅黑"/>
              <w:color w:val="auto"/>
              <w:sz w:val="21"/>
              <w:szCs w:val="21"/>
            </w:rPr>
            <w:fldChar w:fldCharType="end"/>
          </w:r>
          <w:r>
            <w:rPr>
              <w:rFonts w:hint="eastAsia" w:ascii="微软雅黑" w:hAnsi="微软雅黑" w:eastAsia="微软雅黑" w:cs="微软雅黑"/>
              <w:bCs/>
              <w:color w:val="auto"/>
              <w:kern w:val="2"/>
              <w:sz w:val="21"/>
              <w:szCs w:val="21"/>
              <w:lang w:val="en-US" w:eastAsia="zh-CN" w:bidi="ar-SA"/>
            </w:rPr>
            <w:fldChar w:fldCharType="end"/>
          </w:r>
        </w:p>
        <w:p w14:paraId="1B1F6FD5">
          <w:pPr>
            <w:pStyle w:val="16"/>
            <w:tabs>
              <w:tab w:val="right" w:leader="dot" w:pos="9638"/>
            </w:tabs>
            <w:rPr>
              <w:rFonts w:hint="eastAsia" w:ascii="微软雅黑" w:hAnsi="微软雅黑" w:eastAsia="微软雅黑" w:cs="微软雅黑"/>
              <w:color w:val="auto"/>
              <w:sz w:val="21"/>
              <w:szCs w:val="21"/>
            </w:rPr>
          </w:pPr>
          <w:r>
            <w:rPr>
              <w:rFonts w:hint="eastAsia" w:ascii="微软雅黑" w:hAnsi="微软雅黑" w:eastAsia="微软雅黑" w:cs="微软雅黑"/>
              <w:bCs/>
              <w:color w:val="auto"/>
              <w:kern w:val="2"/>
              <w:sz w:val="21"/>
              <w:szCs w:val="21"/>
              <w:lang w:val="en-US" w:eastAsia="zh-CN" w:bidi="ar-SA"/>
            </w:rPr>
            <w:fldChar w:fldCharType="begin"/>
          </w:r>
          <w:r>
            <w:rPr>
              <w:rFonts w:hint="eastAsia" w:ascii="微软雅黑" w:hAnsi="微软雅黑" w:eastAsia="微软雅黑" w:cs="微软雅黑"/>
              <w:bCs/>
              <w:color w:val="auto"/>
              <w:kern w:val="2"/>
              <w:sz w:val="21"/>
              <w:szCs w:val="21"/>
              <w:lang w:val="en-US" w:eastAsia="zh-CN" w:bidi="ar-SA"/>
            </w:rPr>
            <w:instrText xml:space="preserve"> HYPERLINK \l _Toc12128 </w:instrText>
          </w:r>
          <w:r>
            <w:rPr>
              <w:rFonts w:hint="eastAsia" w:ascii="微软雅黑" w:hAnsi="微软雅黑" w:eastAsia="微软雅黑" w:cs="微软雅黑"/>
              <w:bCs/>
              <w:color w:val="auto"/>
              <w:kern w:val="2"/>
              <w:sz w:val="21"/>
              <w:szCs w:val="21"/>
              <w:lang w:val="en-US" w:eastAsia="zh-CN" w:bidi="ar-SA"/>
            </w:rPr>
            <w:fldChar w:fldCharType="separate"/>
          </w:r>
          <w:r>
            <w:rPr>
              <w:rFonts w:hint="eastAsia" w:ascii="微软雅黑" w:hAnsi="微软雅黑" w:eastAsia="微软雅黑" w:cs="微软雅黑"/>
              <w:color w:val="auto"/>
              <w:sz w:val="21"/>
              <w:szCs w:val="21"/>
              <w:lang w:val="en-US" w:eastAsia="zh-CN"/>
            </w:rPr>
            <w:t>五、施工流程要求：</w:t>
          </w:r>
          <w:r>
            <w:rPr>
              <w:rFonts w:hint="eastAsia" w:ascii="微软雅黑" w:hAnsi="微软雅黑" w:eastAsia="微软雅黑" w:cs="微软雅黑"/>
              <w:color w:val="auto"/>
              <w:sz w:val="21"/>
              <w:szCs w:val="21"/>
            </w:rPr>
            <w:tab/>
          </w:r>
          <w:r>
            <w:rPr>
              <w:rFonts w:hint="eastAsia" w:ascii="微软雅黑" w:hAnsi="微软雅黑" w:eastAsia="微软雅黑" w:cs="微软雅黑"/>
              <w:color w:val="auto"/>
              <w:sz w:val="21"/>
              <w:szCs w:val="21"/>
            </w:rPr>
            <w:fldChar w:fldCharType="begin"/>
          </w:r>
          <w:r>
            <w:rPr>
              <w:rFonts w:hint="eastAsia" w:ascii="微软雅黑" w:hAnsi="微软雅黑" w:eastAsia="微软雅黑" w:cs="微软雅黑"/>
              <w:color w:val="auto"/>
              <w:sz w:val="21"/>
              <w:szCs w:val="21"/>
            </w:rPr>
            <w:instrText xml:space="preserve"> PAGEREF _Toc12128 \h </w:instrText>
          </w:r>
          <w:r>
            <w:rPr>
              <w:rFonts w:hint="eastAsia" w:ascii="微软雅黑" w:hAnsi="微软雅黑" w:eastAsia="微软雅黑" w:cs="微软雅黑"/>
              <w:color w:val="auto"/>
              <w:sz w:val="21"/>
              <w:szCs w:val="21"/>
            </w:rPr>
            <w:fldChar w:fldCharType="separate"/>
          </w:r>
          <w:r>
            <w:rPr>
              <w:rFonts w:hint="eastAsia" w:ascii="微软雅黑" w:hAnsi="微软雅黑" w:eastAsia="微软雅黑" w:cs="微软雅黑"/>
              <w:color w:val="auto"/>
              <w:sz w:val="21"/>
              <w:szCs w:val="21"/>
            </w:rPr>
            <w:t>7</w:t>
          </w:r>
          <w:r>
            <w:rPr>
              <w:rFonts w:hint="eastAsia" w:ascii="微软雅黑" w:hAnsi="微软雅黑" w:eastAsia="微软雅黑" w:cs="微软雅黑"/>
              <w:color w:val="auto"/>
              <w:sz w:val="21"/>
              <w:szCs w:val="21"/>
            </w:rPr>
            <w:fldChar w:fldCharType="end"/>
          </w:r>
          <w:r>
            <w:rPr>
              <w:rFonts w:hint="eastAsia" w:ascii="微软雅黑" w:hAnsi="微软雅黑" w:eastAsia="微软雅黑" w:cs="微软雅黑"/>
              <w:bCs/>
              <w:color w:val="auto"/>
              <w:kern w:val="2"/>
              <w:sz w:val="21"/>
              <w:szCs w:val="21"/>
              <w:lang w:val="en-US" w:eastAsia="zh-CN" w:bidi="ar-SA"/>
            </w:rPr>
            <w:fldChar w:fldCharType="end"/>
          </w:r>
        </w:p>
        <w:p w14:paraId="36A6EA13">
          <w:pPr>
            <w:pStyle w:val="16"/>
            <w:tabs>
              <w:tab w:val="right" w:leader="dot" w:pos="9638"/>
            </w:tabs>
            <w:rPr>
              <w:rFonts w:hint="eastAsia" w:ascii="微软雅黑" w:hAnsi="微软雅黑" w:eastAsia="微软雅黑" w:cs="微软雅黑"/>
              <w:color w:val="auto"/>
              <w:sz w:val="21"/>
              <w:szCs w:val="21"/>
            </w:rPr>
          </w:pPr>
          <w:r>
            <w:rPr>
              <w:rFonts w:hint="eastAsia" w:ascii="微软雅黑" w:hAnsi="微软雅黑" w:eastAsia="微软雅黑" w:cs="微软雅黑"/>
              <w:bCs/>
              <w:color w:val="auto"/>
              <w:kern w:val="2"/>
              <w:sz w:val="21"/>
              <w:szCs w:val="21"/>
              <w:lang w:val="en-US" w:eastAsia="zh-CN" w:bidi="ar-SA"/>
            </w:rPr>
            <w:fldChar w:fldCharType="begin"/>
          </w:r>
          <w:r>
            <w:rPr>
              <w:rFonts w:hint="eastAsia" w:ascii="微软雅黑" w:hAnsi="微软雅黑" w:eastAsia="微软雅黑" w:cs="微软雅黑"/>
              <w:bCs/>
              <w:color w:val="auto"/>
              <w:kern w:val="2"/>
              <w:sz w:val="21"/>
              <w:szCs w:val="21"/>
              <w:lang w:val="en-US" w:eastAsia="zh-CN" w:bidi="ar-SA"/>
            </w:rPr>
            <w:instrText xml:space="preserve"> HYPERLINK \l _Toc26134 </w:instrText>
          </w:r>
          <w:r>
            <w:rPr>
              <w:rFonts w:hint="eastAsia" w:ascii="微软雅黑" w:hAnsi="微软雅黑" w:eastAsia="微软雅黑" w:cs="微软雅黑"/>
              <w:bCs/>
              <w:color w:val="auto"/>
              <w:kern w:val="2"/>
              <w:sz w:val="21"/>
              <w:szCs w:val="21"/>
              <w:lang w:val="en-US" w:eastAsia="zh-CN" w:bidi="ar-SA"/>
            </w:rPr>
            <w:fldChar w:fldCharType="separate"/>
          </w:r>
          <w:r>
            <w:rPr>
              <w:rFonts w:hint="eastAsia" w:ascii="微软雅黑" w:hAnsi="微软雅黑" w:eastAsia="微软雅黑" w:cs="微软雅黑"/>
              <w:color w:val="auto"/>
              <w:sz w:val="21"/>
              <w:szCs w:val="21"/>
              <w:lang w:val="en-US" w:eastAsia="zh-CN"/>
            </w:rPr>
            <w:t>六、安全要求（重要）：</w:t>
          </w:r>
          <w:r>
            <w:rPr>
              <w:rFonts w:hint="eastAsia" w:ascii="微软雅黑" w:hAnsi="微软雅黑" w:eastAsia="微软雅黑" w:cs="微软雅黑"/>
              <w:color w:val="auto"/>
              <w:sz w:val="21"/>
              <w:szCs w:val="21"/>
            </w:rPr>
            <w:tab/>
          </w:r>
          <w:r>
            <w:rPr>
              <w:rFonts w:hint="eastAsia" w:ascii="微软雅黑" w:hAnsi="微软雅黑" w:eastAsia="微软雅黑" w:cs="微软雅黑"/>
              <w:color w:val="auto"/>
              <w:sz w:val="21"/>
              <w:szCs w:val="21"/>
            </w:rPr>
            <w:fldChar w:fldCharType="begin"/>
          </w:r>
          <w:r>
            <w:rPr>
              <w:rFonts w:hint="eastAsia" w:ascii="微软雅黑" w:hAnsi="微软雅黑" w:eastAsia="微软雅黑" w:cs="微软雅黑"/>
              <w:color w:val="auto"/>
              <w:sz w:val="21"/>
              <w:szCs w:val="21"/>
            </w:rPr>
            <w:instrText xml:space="preserve"> PAGEREF _Toc26134 \h </w:instrText>
          </w:r>
          <w:r>
            <w:rPr>
              <w:rFonts w:hint="eastAsia" w:ascii="微软雅黑" w:hAnsi="微软雅黑" w:eastAsia="微软雅黑" w:cs="微软雅黑"/>
              <w:color w:val="auto"/>
              <w:sz w:val="21"/>
              <w:szCs w:val="21"/>
            </w:rPr>
            <w:fldChar w:fldCharType="separate"/>
          </w:r>
          <w:r>
            <w:rPr>
              <w:rFonts w:hint="eastAsia" w:ascii="微软雅黑" w:hAnsi="微软雅黑" w:eastAsia="微软雅黑" w:cs="微软雅黑"/>
              <w:color w:val="auto"/>
              <w:sz w:val="21"/>
              <w:szCs w:val="21"/>
            </w:rPr>
            <w:t>7</w:t>
          </w:r>
          <w:r>
            <w:rPr>
              <w:rFonts w:hint="eastAsia" w:ascii="微软雅黑" w:hAnsi="微软雅黑" w:eastAsia="微软雅黑" w:cs="微软雅黑"/>
              <w:color w:val="auto"/>
              <w:sz w:val="21"/>
              <w:szCs w:val="21"/>
            </w:rPr>
            <w:fldChar w:fldCharType="end"/>
          </w:r>
          <w:r>
            <w:rPr>
              <w:rFonts w:hint="eastAsia" w:ascii="微软雅黑" w:hAnsi="微软雅黑" w:eastAsia="微软雅黑" w:cs="微软雅黑"/>
              <w:bCs/>
              <w:color w:val="auto"/>
              <w:kern w:val="2"/>
              <w:sz w:val="21"/>
              <w:szCs w:val="21"/>
              <w:lang w:val="en-US" w:eastAsia="zh-CN" w:bidi="ar-SA"/>
            </w:rPr>
            <w:fldChar w:fldCharType="end"/>
          </w:r>
        </w:p>
        <w:p w14:paraId="1954C73C">
          <w:pPr>
            <w:pStyle w:val="16"/>
            <w:tabs>
              <w:tab w:val="right" w:leader="dot" w:pos="9638"/>
            </w:tabs>
            <w:rPr>
              <w:rFonts w:hint="eastAsia" w:ascii="微软雅黑" w:hAnsi="微软雅黑" w:eastAsia="微软雅黑" w:cs="微软雅黑"/>
              <w:color w:val="auto"/>
              <w:sz w:val="21"/>
              <w:szCs w:val="21"/>
            </w:rPr>
          </w:pPr>
          <w:r>
            <w:rPr>
              <w:rFonts w:hint="eastAsia" w:ascii="微软雅黑" w:hAnsi="微软雅黑" w:eastAsia="微软雅黑" w:cs="微软雅黑"/>
              <w:bCs/>
              <w:color w:val="auto"/>
              <w:kern w:val="2"/>
              <w:sz w:val="21"/>
              <w:szCs w:val="21"/>
              <w:lang w:val="en-US" w:eastAsia="zh-CN" w:bidi="ar-SA"/>
            </w:rPr>
            <w:fldChar w:fldCharType="begin"/>
          </w:r>
          <w:r>
            <w:rPr>
              <w:rFonts w:hint="eastAsia" w:ascii="微软雅黑" w:hAnsi="微软雅黑" w:eastAsia="微软雅黑" w:cs="微软雅黑"/>
              <w:bCs/>
              <w:color w:val="auto"/>
              <w:kern w:val="2"/>
              <w:sz w:val="21"/>
              <w:szCs w:val="21"/>
              <w:lang w:val="en-US" w:eastAsia="zh-CN" w:bidi="ar-SA"/>
            </w:rPr>
            <w:instrText xml:space="preserve"> HYPERLINK \l _Toc15211 </w:instrText>
          </w:r>
          <w:r>
            <w:rPr>
              <w:rFonts w:hint="eastAsia" w:ascii="微软雅黑" w:hAnsi="微软雅黑" w:eastAsia="微软雅黑" w:cs="微软雅黑"/>
              <w:bCs/>
              <w:color w:val="auto"/>
              <w:kern w:val="2"/>
              <w:sz w:val="21"/>
              <w:szCs w:val="21"/>
              <w:lang w:val="en-US" w:eastAsia="zh-CN" w:bidi="ar-SA"/>
            </w:rPr>
            <w:fldChar w:fldCharType="separate"/>
          </w:r>
          <w:r>
            <w:rPr>
              <w:rFonts w:hint="eastAsia" w:ascii="微软雅黑" w:hAnsi="微软雅黑" w:eastAsia="微软雅黑" w:cs="微软雅黑"/>
              <w:color w:val="auto"/>
              <w:sz w:val="21"/>
              <w:szCs w:val="21"/>
              <w:lang w:val="en-US" w:eastAsia="zh-CN"/>
            </w:rPr>
            <w:t>七</w:t>
          </w:r>
          <w:r>
            <w:rPr>
              <w:rFonts w:hint="eastAsia" w:ascii="微软雅黑" w:hAnsi="微软雅黑" w:eastAsia="微软雅黑" w:cs="微软雅黑"/>
              <w:color w:val="auto"/>
              <w:sz w:val="21"/>
              <w:szCs w:val="21"/>
            </w:rPr>
            <w:t>、设备上的计量仪器仪表要求：</w:t>
          </w:r>
          <w:r>
            <w:rPr>
              <w:rFonts w:hint="eastAsia" w:ascii="微软雅黑" w:hAnsi="微软雅黑" w:eastAsia="微软雅黑" w:cs="微软雅黑"/>
              <w:color w:val="auto"/>
              <w:sz w:val="21"/>
              <w:szCs w:val="21"/>
            </w:rPr>
            <w:tab/>
          </w:r>
          <w:r>
            <w:rPr>
              <w:rFonts w:hint="eastAsia" w:ascii="微软雅黑" w:hAnsi="微软雅黑" w:eastAsia="微软雅黑" w:cs="微软雅黑"/>
              <w:color w:val="auto"/>
              <w:sz w:val="21"/>
              <w:szCs w:val="21"/>
            </w:rPr>
            <w:fldChar w:fldCharType="begin"/>
          </w:r>
          <w:r>
            <w:rPr>
              <w:rFonts w:hint="eastAsia" w:ascii="微软雅黑" w:hAnsi="微软雅黑" w:eastAsia="微软雅黑" w:cs="微软雅黑"/>
              <w:color w:val="auto"/>
              <w:sz w:val="21"/>
              <w:szCs w:val="21"/>
            </w:rPr>
            <w:instrText xml:space="preserve"> PAGEREF _Toc15211 \h </w:instrText>
          </w:r>
          <w:r>
            <w:rPr>
              <w:rFonts w:hint="eastAsia" w:ascii="微软雅黑" w:hAnsi="微软雅黑" w:eastAsia="微软雅黑" w:cs="微软雅黑"/>
              <w:color w:val="auto"/>
              <w:sz w:val="21"/>
              <w:szCs w:val="21"/>
            </w:rPr>
            <w:fldChar w:fldCharType="separate"/>
          </w:r>
          <w:r>
            <w:rPr>
              <w:rFonts w:hint="eastAsia" w:ascii="微软雅黑" w:hAnsi="微软雅黑" w:eastAsia="微软雅黑" w:cs="微软雅黑"/>
              <w:color w:val="auto"/>
              <w:sz w:val="21"/>
              <w:szCs w:val="21"/>
            </w:rPr>
            <w:t>8</w:t>
          </w:r>
          <w:r>
            <w:rPr>
              <w:rFonts w:hint="eastAsia" w:ascii="微软雅黑" w:hAnsi="微软雅黑" w:eastAsia="微软雅黑" w:cs="微软雅黑"/>
              <w:color w:val="auto"/>
              <w:sz w:val="21"/>
              <w:szCs w:val="21"/>
            </w:rPr>
            <w:fldChar w:fldCharType="end"/>
          </w:r>
          <w:r>
            <w:rPr>
              <w:rFonts w:hint="eastAsia" w:ascii="微软雅黑" w:hAnsi="微软雅黑" w:eastAsia="微软雅黑" w:cs="微软雅黑"/>
              <w:bCs/>
              <w:color w:val="auto"/>
              <w:kern w:val="2"/>
              <w:sz w:val="21"/>
              <w:szCs w:val="21"/>
              <w:lang w:val="en-US" w:eastAsia="zh-CN" w:bidi="ar-SA"/>
            </w:rPr>
            <w:fldChar w:fldCharType="end"/>
          </w:r>
        </w:p>
        <w:p w14:paraId="231CB0EE">
          <w:pPr>
            <w:pStyle w:val="16"/>
            <w:tabs>
              <w:tab w:val="right" w:leader="dot" w:pos="9638"/>
            </w:tabs>
            <w:rPr>
              <w:rFonts w:hint="eastAsia" w:ascii="微软雅黑" w:hAnsi="微软雅黑" w:eastAsia="微软雅黑" w:cs="微软雅黑"/>
              <w:color w:val="auto"/>
              <w:sz w:val="21"/>
              <w:szCs w:val="21"/>
            </w:rPr>
          </w:pPr>
          <w:r>
            <w:rPr>
              <w:rFonts w:hint="eastAsia" w:ascii="微软雅黑" w:hAnsi="微软雅黑" w:eastAsia="微软雅黑" w:cs="微软雅黑"/>
              <w:bCs/>
              <w:color w:val="auto"/>
              <w:kern w:val="2"/>
              <w:sz w:val="21"/>
              <w:szCs w:val="21"/>
              <w:lang w:val="en-US" w:eastAsia="zh-CN" w:bidi="ar-SA"/>
            </w:rPr>
            <w:fldChar w:fldCharType="begin"/>
          </w:r>
          <w:r>
            <w:rPr>
              <w:rFonts w:hint="eastAsia" w:ascii="微软雅黑" w:hAnsi="微软雅黑" w:eastAsia="微软雅黑" w:cs="微软雅黑"/>
              <w:bCs/>
              <w:color w:val="auto"/>
              <w:kern w:val="2"/>
              <w:sz w:val="21"/>
              <w:szCs w:val="21"/>
              <w:lang w:val="en-US" w:eastAsia="zh-CN" w:bidi="ar-SA"/>
            </w:rPr>
            <w:instrText xml:space="preserve"> HYPERLINK \l _Toc29747 </w:instrText>
          </w:r>
          <w:r>
            <w:rPr>
              <w:rFonts w:hint="eastAsia" w:ascii="微软雅黑" w:hAnsi="微软雅黑" w:eastAsia="微软雅黑" w:cs="微软雅黑"/>
              <w:bCs/>
              <w:color w:val="auto"/>
              <w:kern w:val="2"/>
              <w:sz w:val="21"/>
              <w:szCs w:val="21"/>
              <w:lang w:val="en-US" w:eastAsia="zh-CN" w:bidi="ar-SA"/>
            </w:rPr>
            <w:fldChar w:fldCharType="separate"/>
          </w:r>
          <w:r>
            <w:rPr>
              <w:rFonts w:hint="eastAsia" w:ascii="微软雅黑" w:hAnsi="微软雅黑" w:eastAsia="微软雅黑" w:cs="微软雅黑"/>
              <w:color w:val="auto"/>
              <w:sz w:val="21"/>
              <w:szCs w:val="21"/>
              <w:lang w:val="en-US" w:eastAsia="zh-CN"/>
            </w:rPr>
            <w:t>八</w:t>
          </w:r>
          <w:r>
            <w:rPr>
              <w:rFonts w:hint="eastAsia" w:ascii="微软雅黑" w:hAnsi="微软雅黑" w:eastAsia="微软雅黑" w:cs="微软雅黑"/>
              <w:color w:val="auto"/>
              <w:sz w:val="21"/>
              <w:szCs w:val="21"/>
            </w:rPr>
            <w:t>、元器件配置要求：</w:t>
          </w:r>
          <w:r>
            <w:rPr>
              <w:rFonts w:hint="eastAsia" w:ascii="微软雅黑" w:hAnsi="微软雅黑" w:eastAsia="微软雅黑" w:cs="微软雅黑"/>
              <w:color w:val="auto"/>
              <w:sz w:val="21"/>
              <w:szCs w:val="21"/>
            </w:rPr>
            <w:tab/>
          </w:r>
          <w:r>
            <w:rPr>
              <w:rFonts w:hint="eastAsia" w:ascii="微软雅黑" w:hAnsi="微软雅黑" w:eastAsia="微软雅黑" w:cs="微软雅黑"/>
              <w:color w:val="auto"/>
              <w:sz w:val="21"/>
              <w:szCs w:val="21"/>
            </w:rPr>
            <w:fldChar w:fldCharType="begin"/>
          </w:r>
          <w:r>
            <w:rPr>
              <w:rFonts w:hint="eastAsia" w:ascii="微软雅黑" w:hAnsi="微软雅黑" w:eastAsia="微软雅黑" w:cs="微软雅黑"/>
              <w:color w:val="auto"/>
              <w:sz w:val="21"/>
              <w:szCs w:val="21"/>
            </w:rPr>
            <w:instrText xml:space="preserve"> PAGEREF _Toc29747 \h </w:instrText>
          </w:r>
          <w:r>
            <w:rPr>
              <w:rFonts w:hint="eastAsia" w:ascii="微软雅黑" w:hAnsi="微软雅黑" w:eastAsia="微软雅黑" w:cs="微软雅黑"/>
              <w:color w:val="auto"/>
              <w:sz w:val="21"/>
              <w:szCs w:val="21"/>
            </w:rPr>
            <w:fldChar w:fldCharType="separate"/>
          </w:r>
          <w:r>
            <w:rPr>
              <w:rFonts w:hint="eastAsia" w:ascii="微软雅黑" w:hAnsi="微软雅黑" w:eastAsia="微软雅黑" w:cs="微软雅黑"/>
              <w:color w:val="auto"/>
              <w:sz w:val="21"/>
              <w:szCs w:val="21"/>
            </w:rPr>
            <w:t>9</w:t>
          </w:r>
          <w:r>
            <w:rPr>
              <w:rFonts w:hint="eastAsia" w:ascii="微软雅黑" w:hAnsi="微软雅黑" w:eastAsia="微软雅黑" w:cs="微软雅黑"/>
              <w:color w:val="auto"/>
              <w:sz w:val="21"/>
              <w:szCs w:val="21"/>
            </w:rPr>
            <w:fldChar w:fldCharType="end"/>
          </w:r>
          <w:r>
            <w:rPr>
              <w:rFonts w:hint="eastAsia" w:ascii="微软雅黑" w:hAnsi="微软雅黑" w:eastAsia="微软雅黑" w:cs="微软雅黑"/>
              <w:bCs/>
              <w:color w:val="auto"/>
              <w:kern w:val="2"/>
              <w:sz w:val="21"/>
              <w:szCs w:val="21"/>
              <w:lang w:val="en-US" w:eastAsia="zh-CN" w:bidi="ar-SA"/>
            </w:rPr>
            <w:fldChar w:fldCharType="end"/>
          </w:r>
        </w:p>
        <w:p w14:paraId="1A4BC7B2">
          <w:pPr>
            <w:pStyle w:val="16"/>
            <w:tabs>
              <w:tab w:val="right" w:leader="dot" w:pos="9638"/>
            </w:tabs>
            <w:rPr>
              <w:rFonts w:hint="eastAsia" w:ascii="微软雅黑" w:hAnsi="微软雅黑" w:eastAsia="微软雅黑" w:cs="微软雅黑"/>
              <w:color w:val="auto"/>
              <w:sz w:val="21"/>
              <w:szCs w:val="21"/>
            </w:rPr>
          </w:pPr>
          <w:r>
            <w:rPr>
              <w:rFonts w:hint="eastAsia" w:ascii="微软雅黑" w:hAnsi="微软雅黑" w:eastAsia="微软雅黑" w:cs="微软雅黑"/>
              <w:bCs/>
              <w:color w:val="auto"/>
              <w:kern w:val="2"/>
              <w:sz w:val="21"/>
              <w:szCs w:val="21"/>
              <w:lang w:val="en-US" w:eastAsia="zh-CN" w:bidi="ar-SA"/>
            </w:rPr>
            <w:fldChar w:fldCharType="begin"/>
          </w:r>
          <w:r>
            <w:rPr>
              <w:rFonts w:hint="eastAsia" w:ascii="微软雅黑" w:hAnsi="微软雅黑" w:eastAsia="微软雅黑" w:cs="微软雅黑"/>
              <w:bCs/>
              <w:color w:val="auto"/>
              <w:kern w:val="2"/>
              <w:sz w:val="21"/>
              <w:szCs w:val="21"/>
              <w:lang w:val="en-US" w:eastAsia="zh-CN" w:bidi="ar-SA"/>
            </w:rPr>
            <w:instrText xml:space="preserve"> HYPERLINK \l _Toc485 </w:instrText>
          </w:r>
          <w:r>
            <w:rPr>
              <w:rFonts w:hint="eastAsia" w:ascii="微软雅黑" w:hAnsi="微软雅黑" w:eastAsia="微软雅黑" w:cs="微软雅黑"/>
              <w:bCs/>
              <w:color w:val="auto"/>
              <w:kern w:val="2"/>
              <w:sz w:val="21"/>
              <w:szCs w:val="21"/>
              <w:lang w:val="en-US" w:eastAsia="zh-CN" w:bidi="ar-SA"/>
            </w:rPr>
            <w:fldChar w:fldCharType="separate"/>
          </w:r>
          <w:r>
            <w:rPr>
              <w:rFonts w:hint="eastAsia" w:ascii="微软雅黑" w:hAnsi="微软雅黑" w:eastAsia="微软雅黑" w:cs="微软雅黑"/>
              <w:color w:val="auto"/>
              <w:sz w:val="21"/>
              <w:szCs w:val="21"/>
              <w:lang w:val="en-US" w:eastAsia="zh-CN"/>
            </w:rPr>
            <w:t>九</w:t>
          </w:r>
          <w:r>
            <w:rPr>
              <w:rFonts w:hint="eastAsia" w:ascii="微软雅黑" w:hAnsi="微软雅黑" w:eastAsia="微软雅黑" w:cs="微软雅黑"/>
              <w:color w:val="auto"/>
              <w:sz w:val="21"/>
              <w:szCs w:val="21"/>
            </w:rPr>
            <w:t>、备件要求：</w:t>
          </w:r>
          <w:r>
            <w:rPr>
              <w:rFonts w:hint="eastAsia" w:ascii="微软雅黑" w:hAnsi="微软雅黑" w:eastAsia="微软雅黑" w:cs="微软雅黑"/>
              <w:color w:val="auto"/>
              <w:sz w:val="21"/>
              <w:szCs w:val="21"/>
            </w:rPr>
            <w:tab/>
          </w:r>
          <w:r>
            <w:rPr>
              <w:rFonts w:hint="eastAsia" w:ascii="微软雅黑" w:hAnsi="微软雅黑" w:eastAsia="微软雅黑" w:cs="微软雅黑"/>
              <w:color w:val="auto"/>
              <w:sz w:val="21"/>
              <w:szCs w:val="21"/>
            </w:rPr>
            <w:fldChar w:fldCharType="begin"/>
          </w:r>
          <w:r>
            <w:rPr>
              <w:rFonts w:hint="eastAsia" w:ascii="微软雅黑" w:hAnsi="微软雅黑" w:eastAsia="微软雅黑" w:cs="微软雅黑"/>
              <w:color w:val="auto"/>
              <w:sz w:val="21"/>
              <w:szCs w:val="21"/>
            </w:rPr>
            <w:instrText xml:space="preserve"> PAGEREF _Toc485 \h </w:instrText>
          </w:r>
          <w:r>
            <w:rPr>
              <w:rFonts w:hint="eastAsia" w:ascii="微软雅黑" w:hAnsi="微软雅黑" w:eastAsia="微软雅黑" w:cs="微软雅黑"/>
              <w:color w:val="auto"/>
              <w:sz w:val="21"/>
              <w:szCs w:val="21"/>
            </w:rPr>
            <w:fldChar w:fldCharType="separate"/>
          </w:r>
          <w:r>
            <w:rPr>
              <w:rFonts w:hint="eastAsia" w:ascii="微软雅黑" w:hAnsi="微软雅黑" w:eastAsia="微软雅黑" w:cs="微软雅黑"/>
              <w:color w:val="auto"/>
              <w:sz w:val="21"/>
              <w:szCs w:val="21"/>
            </w:rPr>
            <w:t>9</w:t>
          </w:r>
          <w:r>
            <w:rPr>
              <w:rFonts w:hint="eastAsia" w:ascii="微软雅黑" w:hAnsi="微软雅黑" w:eastAsia="微软雅黑" w:cs="微软雅黑"/>
              <w:color w:val="auto"/>
              <w:sz w:val="21"/>
              <w:szCs w:val="21"/>
            </w:rPr>
            <w:fldChar w:fldCharType="end"/>
          </w:r>
          <w:r>
            <w:rPr>
              <w:rFonts w:hint="eastAsia" w:ascii="微软雅黑" w:hAnsi="微软雅黑" w:eastAsia="微软雅黑" w:cs="微软雅黑"/>
              <w:bCs/>
              <w:color w:val="auto"/>
              <w:kern w:val="2"/>
              <w:sz w:val="21"/>
              <w:szCs w:val="21"/>
              <w:lang w:val="en-US" w:eastAsia="zh-CN" w:bidi="ar-SA"/>
            </w:rPr>
            <w:fldChar w:fldCharType="end"/>
          </w:r>
        </w:p>
        <w:p w14:paraId="74E035CE">
          <w:pPr>
            <w:pStyle w:val="16"/>
            <w:tabs>
              <w:tab w:val="right" w:leader="dot" w:pos="9638"/>
            </w:tabs>
            <w:rPr>
              <w:rFonts w:hint="eastAsia" w:ascii="微软雅黑" w:hAnsi="微软雅黑" w:eastAsia="微软雅黑" w:cs="微软雅黑"/>
              <w:color w:val="auto"/>
              <w:sz w:val="21"/>
              <w:szCs w:val="21"/>
            </w:rPr>
          </w:pPr>
          <w:r>
            <w:rPr>
              <w:rFonts w:hint="eastAsia" w:ascii="微软雅黑" w:hAnsi="微软雅黑" w:eastAsia="微软雅黑" w:cs="微软雅黑"/>
              <w:bCs/>
              <w:color w:val="auto"/>
              <w:kern w:val="2"/>
              <w:sz w:val="21"/>
              <w:szCs w:val="21"/>
              <w:lang w:val="en-US" w:eastAsia="zh-CN" w:bidi="ar-SA"/>
            </w:rPr>
            <w:fldChar w:fldCharType="begin"/>
          </w:r>
          <w:r>
            <w:rPr>
              <w:rFonts w:hint="eastAsia" w:ascii="微软雅黑" w:hAnsi="微软雅黑" w:eastAsia="微软雅黑" w:cs="微软雅黑"/>
              <w:bCs/>
              <w:color w:val="auto"/>
              <w:kern w:val="2"/>
              <w:sz w:val="21"/>
              <w:szCs w:val="21"/>
              <w:lang w:val="en-US" w:eastAsia="zh-CN" w:bidi="ar-SA"/>
            </w:rPr>
            <w:instrText xml:space="preserve"> HYPERLINK \l _Toc3997 </w:instrText>
          </w:r>
          <w:r>
            <w:rPr>
              <w:rFonts w:hint="eastAsia" w:ascii="微软雅黑" w:hAnsi="微软雅黑" w:eastAsia="微软雅黑" w:cs="微软雅黑"/>
              <w:bCs/>
              <w:color w:val="auto"/>
              <w:kern w:val="2"/>
              <w:sz w:val="21"/>
              <w:szCs w:val="21"/>
              <w:lang w:val="en-US" w:eastAsia="zh-CN" w:bidi="ar-SA"/>
            </w:rPr>
            <w:fldChar w:fldCharType="separate"/>
          </w:r>
          <w:r>
            <w:rPr>
              <w:rFonts w:hint="eastAsia" w:ascii="微软雅黑" w:hAnsi="微软雅黑" w:eastAsia="微软雅黑" w:cs="微软雅黑"/>
              <w:color w:val="auto"/>
              <w:sz w:val="21"/>
              <w:szCs w:val="21"/>
              <w:lang w:val="en-US" w:eastAsia="zh-CN"/>
            </w:rPr>
            <w:t>十</w:t>
          </w:r>
          <w:r>
            <w:rPr>
              <w:rFonts w:hint="eastAsia" w:ascii="微软雅黑" w:hAnsi="微软雅黑" w:eastAsia="微软雅黑" w:cs="微软雅黑"/>
              <w:color w:val="auto"/>
              <w:sz w:val="21"/>
              <w:szCs w:val="21"/>
            </w:rPr>
            <w:t>、设备发货和运输要求：</w:t>
          </w:r>
          <w:r>
            <w:rPr>
              <w:rFonts w:hint="eastAsia" w:ascii="微软雅黑" w:hAnsi="微软雅黑" w:eastAsia="微软雅黑" w:cs="微软雅黑"/>
              <w:color w:val="auto"/>
              <w:sz w:val="21"/>
              <w:szCs w:val="21"/>
            </w:rPr>
            <w:tab/>
          </w:r>
          <w:r>
            <w:rPr>
              <w:rFonts w:hint="eastAsia" w:ascii="微软雅黑" w:hAnsi="微软雅黑" w:eastAsia="微软雅黑" w:cs="微软雅黑"/>
              <w:color w:val="auto"/>
              <w:sz w:val="21"/>
              <w:szCs w:val="21"/>
            </w:rPr>
            <w:fldChar w:fldCharType="begin"/>
          </w:r>
          <w:r>
            <w:rPr>
              <w:rFonts w:hint="eastAsia" w:ascii="微软雅黑" w:hAnsi="微软雅黑" w:eastAsia="微软雅黑" w:cs="微软雅黑"/>
              <w:color w:val="auto"/>
              <w:sz w:val="21"/>
              <w:szCs w:val="21"/>
            </w:rPr>
            <w:instrText xml:space="preserve"> PAGEREF _Toc3997 \h </w:instrText>
          </w:r>
          <w:r>
            <w:rPr>
              <w:rFonts w:hint="eastAsia" w:ascii="微软雅黑" w:hAnsi="微软雅黑" w:eastAsia="微软雅黑" w:cs="微软雅黑"/>
              <w:color w:val="auto"/>
              <w:sz w:val="21"/>
              <w:szCs w:val="21"/>
            </w:rPr>
            <w:fldChar w:fldCharType="separate"/>
          </w:r>
          <w:r>
            <w:rPr>
              <w:rFonts w:hint="eastAsia" w:ascii="微软雅黑" w:hAnsi="微软雅黑" w:eastAsia="微软雅黑" w:cs="微软雅黑"/>
              <w:color w:val="auto"/>
              <w:sz w:val="21"/>
              <w:szCs w:val="21"/>
            </w:rPr>
            <w:t>10</w:t>
          </w:r>
          <w:r>
            <w:rPr>
              <w:rFonts w:hint="eastAsia" w:ascii="微软雅黑" w:hAnsi="微软雅黑" w:eastAsia="微软雅黑" w:cs="微软雅黑"/>
              <w:color w:val="auto"/>
              <w:sz w:val="21"/>
              <w:szCs w:val="21"/>
            </w:rPr>
            <w:fldChar w:fldCharType="end"/>
          </w:r>
          <w:r>
            <w:rPr>
              <w:rFonts w:hint="eastAsia" w:ascii="微软雅黑" w:hAnsi="微软雅黑" w:eastAsia="微软雅黑" w:cs="微软雅黑"/>
              <w:bCs/>
              <w:color w:val="auto"/>
              <w:kern w:val="2"/>
              <w:sz w:val="21"/>
              <w:szCs w:val="21"/>
              <w:lang w:val="en-US" w:eastAsia="zh-CN" w:bidi="ar-SA"/>
            </w:rPr>
            <w:fldChar w:fldCharType="end"/>
          </w:r>
        </w:p>
        <w:p w14:paraId="78FCB15A">
          <w:pPr>
            <w:pStyle w:val="16"/>
            <w:tabs>
              <w:tab w:val="right" w:leader="dot" w:pos="9638"/>
            </w:tabs>
            <w:rPr>
              <w:rFonts w:hint="eastAsia" w:ascii="微软雅黑" w:hAnsi="微软雅黑" w:eastAsia="微软雅黑" w:cs="微软雅黑"/>
              <w:color w:val="auto"/>
              <w:sz w:val="21"/>
              <w:szCs w:val="21"/>
            </w:rPr>
          </w:pPr>
          <w:r>
            <w:rPr>
              <w:rFonts w:hint="eastAsia" w:ascii="微软雅黑" w:hAnsi="微软雅黑" w:eastAsia="微软雅黑" w:cs="微软雅黑"/>
              <w:bCs/>
              <w:color w:val="auto"/>
              <w:kern w:val="2"/>
              <w:sz w:val="21"/>
              <w:szCs w:val="21"/>
              <w:lang w:val="en-US" w:eastAsia="zh-CN" w:bidi="ar-SA"/>
            </w:rPr>
            <w:fldChar w:fldCharType="begin"/>
          </w:r>
          <w:r>
            <w:rPr>
              <w:rFonts w:hint="eastAsia" w:ascii="微软雅黑" w:hAnsi="微软雅黑" w:eastAsia="微软雅黑" w:cs="微软雅黑"/>
              <w:bCs/>
              <w:color w:val="auto"/>
              <w:kern w:val="2"/>
              <w:sz w:val="21"/>
              <w:szCs w:val="21"/>
              <w:lang w:val="en-US" w:eastAsia="zh-CN" w:bidi="ar-SA"/>
            </w:rPr>
            <w:instrText xml:space="preserve"> HYPERLINK \l _Toc25913 </w:instrText>
          </w:r>
          <w:r>
            <w:rPr>
              <w:rFonts w:hint="eastAsia" w:ascii="微软雅黑" w:hAnsi="微软雅黑" w:eastAsia="微软雅黑" w:cs="微软雅黑"/>
              <w:bCs/>
              <w:color w:val="auto"/>
              <w:kern w:val="2"/>
              <w:sz w:val="21"/>
              <w:szCs w:val="21"/>
              <w:lang w:val="en-US" w:eastAsia="zh-CN" w:bidi="ar-SA"/>
            </w:rPr>
            <w:fldChar w:fldCharType="separate"/>
          </w:r>
          <w:r>
            <w:rPr>
              <w:rFonts w:hint="eastAsia" w:ascii="微软雅黑" w:hAnsi="微软雅黑" w:eastAsia="微软雅黑" w:cs="微软雅黑"/>
              <w:color w:val="auto"/>
              <w:sz w:val="21"/>
              <w:szCs w:val="21"/>
              <w:lang w:val="en-US" w:eastAsia="zh-CN"/>
            </w:rPr>
            <w:t>十一</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项目实施现场管理规范：</w:t>
          </w:r>
          <w:r>
            <w:rPr>
              <w:rFonts w:hint="eastAsia" w:ascii="微软雅黑" w:hAnsi="微软雅黑" w:eastAsia="微软雅黑" w:cs="微软雅黑"/>
              <w:color w:val="auto"/>
              <w:sz w:val="21"/>
              <w:szCs w:val="21"/>
            </w:rPr>
            <w:tab/>
          </w:r>
          <w:r>
            <w:rPr>
              <w:rFonts w:hint="eastAsia" w:ascii="微软雅黑" w:hAnsi="微软雅黑" w:eastAsia="微软雅黑" w:cs="微软雅黑"/>
              <w:color w:val="auto"/>
              <w:sz w:val="21"/>
              <w:szCs w:val="21"/>
            </w:rPr>
            <w:fldChar w:fldCharType="begin"/>
          </w:r>
          <w:r>
            <w:rPr>
              <w:rFonts w:hint="eastAsia" w:ascii="微软雅黑" w:hAnsi="微软雅黑" w:eastAsia="微软雅黑" w:cs="微软雅黑"/>
              <w:color w:val="auto"/>
              <w:sz w:val="21"/>
              <w:szCs w:val="21"/>
            </w:rPr>
            <w:instrText xml:space="preserve"> PAGEREF _Toc25913 \h </w:instrText>
          </w:r>
          <w:r>
            <w:rPr>
              <w:rFonts w:hint="eastAsia" w:ascii="微软雅黑" w:hAnsi="微软雅黑" w:eastAsia="微软雅黑" w:cs="微软雅黑"/>
              <w:color w:val="auto"/>
              <w:sz w:val="21"/>
              <w:szCs w:val="21"/>
            </w:rPr>
            <w:fldChar w:fldCharType="separate"/>
          </w:r>
          <w:r>
            <w:rPr>
              <w:rFonts w:hint="eastAsia" w:ascii="微软雅黑" w:hAnsi="微软雅黑" w:eastAsia="微软雅黑" w:cs="微软雅黑"/>
              <w:color w:val="auto"/>
              <w:sz w:val="21"/>
              <w:szCs w:val="21"/>
            </w:rPr>
            <w:t>10</w:t>
          </w:r>
          <w:r>
            <w:rPr>
              <w:rFonts w:hint="eastAsia" w:ascii="微软雅黑" w:hAnsi="微软雅黑" w:eastAsia="微软雅黑" w:cs="微软雅黑"/>
              <w:color w:val="auto"/>
              <w:sz w:val="21"/>
              <w:szCs w:val="21"/>
            </w:rPr>
            <w:fldChar w:fldCharType="end"/>
          </w:r>
          <w:r>
            <w:rPr>
              <w:rFonts w:hint="eastAsia" w:ascii="微软雅黑" w:hAnsi="微软雅黑" w:eastAsia="微软雅黑" w:cs="微软雅黑"/>
              <w:bCs/>
              <w:color w:val="auto"/>
              <w:kern w:val="2"/>
              <w:sz w:val="21"/>
              <w:szCs w:val="21"/>
              <w:lang w:val="en-US" w:eastAsia="zh-CN" w:bidi="ar-SA"/>
            </w:rPr>
            <w:fldChar w:fldCharType="end"/>
          </w:r>
        </w:p>
        <w:p w14:paraId="398F845B">
          <w:pPr>
            <w:pStyle w:val="16"/>
            <w:tabs>
              <w:tab w:val="right" w:leader="dot" w:pos="9638"/>
            </w:tabs>
            <w:rPr>
              <w:rFonts w:hint="eastAsia" w:ascii="微软雅黑" w:hAnsi="微软雅黑" w:eastAsia="微软雅黑" w:cs="微软雅黑"/>
              <w:color w:val="auto"/>
              <w:sz w:val="21"/>
              <w:szCs w:val="21"/>
            </w:rPr>
          </w:pPr>
          <w:r>
            <w:rPr>
              <w:rFonts w:hint="eastAsia" w:ascii="微软雅黑" w:hAnsi="微软雅黑" w:eastAsia="微软雅黑" w:cs="微软雅黑"/>
              <w:bCs/>
              <w:color w:val="auto"/>
              <w:kern w:val="2"/>
              <w:sz w:val="21"/>
              <w:szCs w:val="21"/>
              <w:lang w:val="en-US" w:eastAsia="zh-CN" w:bidi="ar-SA"/>
            </w:rPr>
            <w:fldChar w:fldCharType="begin"/>
          </w:r>
          <w:r>
            <w:rPr>
              <w:rFonts w:hint="eastAsia" w:ascii="微软雅黑" w:hAnsi="微软雅黑" w:eastAsia="微软雅黑" w:cs="微软雅黑"/>
              <w:bCs/>
              <w:color w:val="auto"/>
              <w:kern w:val="2"/>
              <w:sz w:val="21"/>
              <w:szCs w:val="21"/>
              <w:lang w:val="en-US" w:eastAsia="zh-CN" w:bidi="ar-SA"/>
            </w:rPr>
            <w:instrText xml:space="preserve"> HYPERLINK \l _Toc16013 </w:instrText>
          </w:r>
          <w:r>
            <w:rPr>
              <w:rFonts w:hint="eastAsia" w:ascii="微软雅黑" w:hAnsi="微软雅黑" w:eastAsia="微软雅黑" w:cs="微软雅黑"/>
              <w:bCs/>
              <w:color w:val="auto"/>
              <w:kern w:val="2"/>
              <w:sz w:val="21"/>
              <w:szCs w:val="21"/>
              <w:lang w:val="en-US" w:eastAsia="zh-CN" w:bidi="ar-SA"/>
            </w:rPr>
            <w:fldChar w:fldCharType="separate"/>
          </w:r>
          <w:r>
            <w:rPr>
              <w:rFonts w:hint="eastAsia" w:ascii="微软雅黑" w:hAnsi="微软雅黑" w:eastAsia="微软雅黑" w:cs="微软雅黑"/>
              <w:color w:val="auto"/>
              <w:sz w:val="21"/>
              <w:szCs w:val="21"/>
            </w:rPr>
            <w:t>十</w:t>
          </w:r>
          <w:r>
            <w:rPr>
              <w:rFonts w:hint="eastAsia" w:ascii="微软雅黑" w:hAnsi="微软雅黑" w:eastAsia="微软雅黑" w:cs="微软雅黑"/>
              <w:color w:val="auto"/>
              <w:sz w:val="21"/>
              <w:szCs w:val="21"/>
              <w:lang w:val="en-US" w:eastAsia="zh-CN"/>
            </w:rPr>
            <w:t>二</w:t>
          </w:r>
          <w:r>
            <w:rPr>
              <w:rFonts w:hint="eastAsia" w:ascii="微软雅黑" w:hAnsi="微软雅黑" w:eastAsia="微软雅黑" w:cs="微软雅黑"/>
              <w:color w:val="auto"/>
              <w:sz w:val="21"/>
              <w:szCs w:val="21"/>
            </w:rPr>
            <w:t>、培训要求：</w:t>
          </w:r>
          <w:r>
            <w:rPr>
              <w:rFonts w:hint="eastAsia" w:ascii="微软雅黑" w:hAnsi="微软雅黑" w:eastAsia="微软雅黑" w:cs="微软雅黑"/>
              <w:color w:val="auto"/>
              <w:sz w:val="21"/>
              <w:szCs w:val="21"/>
            </w:rPr>
            <w:tab/>
          </w:r>
          <w:r>
            <w:rPr>
              <w:rFonts w:hint="eastAsia" w:ascii="微软雅黑" w:hAnsi="微软雅黑" w:eastAsia="微软雅黑" w:cs="微软雅黑"/>
              <w:color w:val="auto"/>
              <w:sz w:val="21"/>
              <w:szCs w:val="21"/>
            </w:rPr>
            <w:fldChar w:fldCharType="begin"/>
          </w:r>
          <w:r>
            <w:rPr>
              <w:rFonts w:hint="eastAsia" w:ascii="微软雅黑" w:hAnsi="微软雅黑" w:eastAsia="微软雅黑" w:cs="微软雅黑"/>
              <w:color w:val="auto"/>
              <w:sz w:val="21"/>
              <w:szCs w:val="21"/>
            </w:rPr>
            <w:instrText xml:space="preserve"> PAGEREF _Toc16013 \h </w:instrText>
          </w:r>
          <w:r>
            <w:rPr>
              <w:rFonts w:hint="eastAsia" w:ascii="微软雅黑" w:hAnsi="微软雅黑" w:eastAsia="微软雅黑" w:cs="微软雅黑"/>
              <w:color w:val="auto"/>
              <w:sz w:val="21"/>
              <w:szCs w:val="21"/>
            </w:rPr>
            <w:fldChar w:fldCharType="separate"/>
          </w:r>
          <w:r>
            <w:rPr>
              <w:rFonts w:hint="eastAsia" w:ascii="微软雅黑" w:hAnsi="微软雅黑" w:eastAsia="微软雅黑" w:cs="微软雅黑"/>
              <w:color w:val="auto"/>
              <w:sz w:val="21"/>
              <w:szCs w:val="21"/>
            </w:rPr>
            <w:t>10</w:t>
          </w:r>
          <w:r>
            <w:rPr>
              <w:rFonts w:hint="eastAsia" w:ascii="微软雅黑" w:hAnsi="微软雅黑" w:eastAsia="微软雅黑" w:cs="微软雅黑"/>
              <w:color w:val="auto"/>
              <w:sz w:val="21"/>
              <w:szCs w:val="21"/>
            </w:rPr>
            <w:fldChar w:fldCharType="end"/>
          </w:r>
          <w:r>
            <w:rPr>
              <w:rFonts w:hint="eastAsia" w:ascii="微软雅黑" w:hAnsi="微软雅黑" w:eastAsia="微软雅黑" w:cs="微软雅黑"/>
              <w:bCs/>
              <w:color w:val="auto"/>
              <w:kern w:val="2"/>
              <w:sz w:val="21"/>
              <w:szCs w:val="21"/>
              <w:lang w:val="en-US" w:eastAsia="zh-CN" w:bidi="ar-SA"/>
            </w:rPr>
            <w:fldChar w:fldCharType="end"/>
          </w:r>
        </w:p>
        <w:p w14:paraId="346C5471">
          <w:pPr>
            <w:pStyle w:val="16"/>
            <w:tabs>
              <w:tab w:val="right" w:leader="dot" w:pos="9638"/>
            </w:tabs>
            <w:rPr>
              <w:rFonts w:hint="eastAsia" w:ascii="微软雅黑" w:hAnsi="微软雅黑" w:eastAsia="微软雅黑" w:cs="微软雅黑"/>
              <w:color w:val="auto"/>
              <w:sz w:val="21"/>
              <w:szCs w:val="21"/>
            </w:rPr>
          </w:pPr>
          <w:r>
            <w:rPr>
              <w:rFonts w:hint="eastAsia" w:ascii="微软雅黑" w:hAnsi="微软雅黑" w:eastAsia="微软雅黑" w:cs="微软雅黑"/>
              <w:bCs/>
              <w:color w:val="auto"/>
              <w:kern w:val="2"/>
              <w:sz w:val="21"/>
              <w:szCs w:val="21"/>
              <w:lang w:val="en-US" w:eastAsia="zh-CN" w:bidi="ar-SA"/>
            </w:rPr>
            <w:fldChar w:fldCharType="begin"/>
          </w:r>
          <w:r>
            <w:rPr>
              <w:rFonts w:hint="eastAsia" w:ascii="微软雅黑" w:hAnsi="微软雅黑" w:eastAsia="微软雅黑" w:cs="微软雅黑"/>
              <w:bCs/>
              <w:color w:val="auto"/>
              <w:kern w:val="2"/>
              <w:sz w:val="21"/>
              <w:szCs w:val="21"/>
              <w:lang w:val="en-US" w:eastAsia="zh-CN" w:bidi="ar-SA"/>
            </w:rPr>
            <w:instrText xml:space="preserve"> HYPERLINK \l _Toc24778 </w:instrText>
          </w:r>
          <w:r>
            <w:rPr>
              <w:rFonts w:hint="eastAsia" w:ascii="微软雅黑" w:hAnsi="微软雅黑" w:eastAsia="微软雅黑" w:cs="微软雅黑"/>
              <w:bCs/>
              <w:color w:val="auto"/>
              <w:kern w:val="2"/>
              <w:sz w:val="21"/>
              <w:szCs w:val="21"/>
              <w:lang w:val="en-US" w:eastAsia="zh-CN" w:bidi="ar-SA"/>
            </w:rPr>
            <w:fldChar w:fldCharType="separate"/>
          </w:r>
          <w:r>
            <w:rPr>
              <w:rFonts w:hint="eastAsia" w:ascii="微软雅黑" w:hAnsi="微软雅黑" w:eastAsia="微软雅黑" w:cs="微软雅黑"/>
              <w:color w:val="auto"/>
              <w:sz w:val="21"/>
              <w:szCs w:val="21"/>
            </w:rPr>
            <w:t>十</w:t>
          </w:r>
          <w:r>
            <w:rPr>
              <w:rFonts w:hint="eastAsia" w:ascii="微软雅黑" w:hAnsi="微软雅黑" w:eastAsia="微软雅黑" w:cs="微软雅黑"/>
              <w:color w:val="auto"/>
              <w:sz w:val="21"/>
              <w:szCs w:val="21"/>
              <w:lang w:val="en-US" w:eastAsia="zh-CN"/>
            </w:rPr>
            <w:t>三</w:t>
          </w:r>
          <w:r>
            <w:rPr>
              <w:rFonts w:hint="eastAsia" w:ascii="微软雅黑" w:hAnsi="微软雅黑" w:eastAsia="微软雅黑" w:cs="微软雅黑"/>
              <w:color w:val="auto"/>
              <w:sz w:val="21"/>
              <w:szCs w:val="21"/>
            </w:rPr>
            <w:t>、设备资料数量和语言要求：</w:t>
          </w:r>
          <w:r>
            <w:rPr>
              <w:rFonts w:hint="eastAsia" w:ascii="微软雅黑" w:hAnsi="微软雅黑" w:eastAsia="微软雅黑" w:cs="微软雅黑"/>
              <w:color w:val="auto"/>
              <w:sz w:val="21"/>
              <w:szCs w:val="21"/>
            </w:rPr>
            <w:tab/>
          </w:r>
          <w:r>
            <w:rPr>
              <w:rFonts w:hint="eastAsia" w:ascii="微软雅黑" w:hAnsi="微软雅黑" w:eastAsia="微软雅黑" w:cs="微软雅黑"/>
              <w:color w:val="auto"/>
              <w:sz w:val="21"/>
              <w:szCs w:val="21"/>
            </w:rPr>
            <w:fldChar w:fldCharType="begin"/>
          </w:r>
          <w:r>
            <w:rPr>
              <w:rFonts w:hint="eastAsia" w:ascii="微软雅黑" w:hAnsi="微软雅黑" w:eastAsia="微软雅黑" w:cs="微软雅黑"/>
              <w:color w:val="auto"/>
              <w:sz w:val="21"/>
              <w:szCs w:val="21"/>
            </w:rPr>
            <w:instrText xml:space="preserve"> PAGEREF _Toc24778 \h </w:instrText>
          </w:r>
          <w:r>
            <w:rPr>
              <w:rFonts w:hint="eastAsia" w:ascii="微软雅黑" w:hAnsi="微软雅黑" w:eastAsia="微软雅黑" w:cs="微软雅黑"/>
              <w:color w:val="auto"/>
              <w:sz w:val="21"/>
              <w:szCs w:val="21"/>
            </w:rPr>
            <w:fldChar w:fldCharType="separate"/>
          </w:r>
          <w:r>
            <w:rPr>
              <w:rFonts w:hint="eastAsia" w:ascii="微软雅黑" w:hAnsi="微软雅黑" w:eastAsia="微软雅黑" w:cs="微软雅黑"/>
              <w:color w:val="auto"/>
              <w:sz w:val="21"/>
              <w:szCs w:val="21"/>
            </w:rPr>
            <w:t>11</w:t>
          </w:r>
          <w:r>
            <w:rPr>
              <w:rFonts w:hint="eastAsia" w:ascii="微软雅黑" w:hAnsi="微软雅黑" w:eastAsia="微软雅黑" w:cs="微软雅黑"/>
              <w:color w:val="auto"/>
              <w:sz w:val="21"/>
              <w:szCs w:val="21"/>
            </w:rPr>
            <w:fldChar w:fldCharType="end"/>
          </w:r>
          <w:r>
            <w:rPr>
              <w:rFonts w:hint="eastAsia" w:ascii="微软雅黑" w:hAnsi="微软雅黑" w:eastAsia="微软雅黑" w:cs="微软雅黑"/>
              <w:bCs/>
              <w:color w:val="auto"/>
              <w:kern w:val="2"/>
              <w:sz w:val="21"/>
              <w:szCs w:val="21"/>
              <w:lang w:val="en-US" w:eastAsia="zh-CN" w:bidi="ar-SA"/>
            </w:rPr>
            <w:fldChar w:fldCharType="end"/>
          </w:r>
        </w:p>
        <w:p w14:paraId="61A9DCBD">
          <w:pPr>
            <w:pStyle w:val="16"/>
            <w:tabs>
              <w:tab w:val="right" w:leader="dot" w:pos="9638"/>
            </w:tabs>
            <w:rPr>
              <w:rFonts w:hint="eastAsia" w:ascii="微软雅黑" w:hAnsi="微软雅黑" w:eastAsia="微软雅黑" w:cs="微软雅黑"/>
              <w:color w:val="auto"/>
              <w:sz w:val="21"/>
              <w:szCs w:val="21"/>
            </w:rPr>
          </w:pPr>
          <w:r>
            <w:rPr>
              <w:rFonts w:hint="eastAsia" w:ascii="微软雅黑" w:hAnsi="微软雅黑" w:eastAsia="微软雅黑" w:cs="微软雅黑"/>
              <w:bCs/>
              <w:color w:val="auto"/>
              <w:kern w:val="2"/>
              <w:sz w:val="21"/>
              <w:szCs w:val="21"/>
              <w:lang w:val="en-US" w:eastAsia="zh-CN" w:bidi="ar-SA"/>
            </w:rPr>
            <w:fldChar w:fldCharType="begin"/>
          </w:r>
          <w:r>
            <w:rPr>
              <w:rFonts w:hint="eastAsia" w:ascii="微软雅黑" w:hAnsi="微软雅黑" w:eastAsia="微软雅黑" w:cs="微软雅黑"/>
              <w:bCs/>
              <w:color w:val="auto"/>
              <w:kern w:val="2"/>
              <w:sz w:val="21"/>
              <w:szCs w:val="21"/>
              <w:lang w:val="en-US" w:eastAsia="zh-CN" w:bidi="ar-SA"/>
            </w:rPr>
            <w:instrText xml:space="preserve"> HYPERLINK \l _Toc31063 </w:instrText>
          </w:r>
          <w:r>
            <w:rPr>
              <w:rFonts w:hint="eastAsia" w:ascii="微软雅黑" w:hAnsi="微软雅黑" w:eastAsia="微软雅黑" w:cs="微软雅黑"/>
              <w:bCs/>
              <w:color w:val="auto"/>
              <w:kern w:val="2"/>
              <w:sz w:val="21"/>
              <w:szCs w:val="21"/>
              <w:lang w:val="en-US" w:eastAsia="zh-CN" w:bidi="ar-SA"/>
            </w:rPr>
            <w:fldChar w:fldCharType="separate"/>
          </w:r>
          <w:r>
            <w:rPr>
              <w:rFonts w:hint="eastAsia" w:ascii="微软雅黑" w:hAnsi="微软雅黑" w:eastAsia="微软雅黑" w:cs="微软雅黑"/>
              <w:color w:val="auto"/>
              <w:sz w:val="21"/>
              <w:szCs w:val="21"/>
            </w:rPr>
            <w:t>十</w:t>
          </w:r>
          <w:r>
            <w:rPr>
              <w:rFonts w:hint="eastAsia" w:ascii="微软雅黑" w:hAnsi="微软雅黑" w:eastAsia="微软雅黑" w:cs="微软雅黑"/>
              <w:color w:val="auto"/>
              <w:sz w:val="21"/>
              <w:szCs w:val="21"/>
              <w:lang w:val="en-US" w:eastAsia="zh-CN"/>
            </w:rPr>
            <w:t>四</w:t>
          </w:r>
          <w:r>
            <w:rPr>
              <w:rFonts w:hint="eastAsia" w:ascii="微软雅黑" w:hAnsi="微软雅黑" w:eastAsia="微软雅黑" w:cs="微软雅黑"/>
              <w:color w:val="auto"/>
              <w:sz w:val="21"/>
              <w:szCs w:val="21"/>
            </w:rPr>
            <w:t>、设备以往存在的问题，改进提升要求：</w:t>
          </w:r>
          <w:r>
            <w:rPr>
              <w:rFonts w:hint="eastAsia" w:ascii="微软雅黑" w:hAnsi="微软雅黑" w:eastAsia="微软雅黑" w:cs="微软雅黑"/>
              <w:color w:val="auto"/>
              <w:sz w:val="21"/>
              <w:szCs w:val="21"/>
            </w:rPr>
            <w:tab/>
          </w:r>
          <w:r>
            <w:rPr>
              <w:rFonts w:hint="eastAsia" w:ascii="微软雅黑" w:hAnsi="微软雅黑" w:eastAsia="微软雅黑" w:cs="微软雅黑"/>
              <w:color w:val="auto"/>
              <w:sz w:val="21"/>
              <w:szCs w:val="21"/>
            </w:rPr>
            <w:fldChar w:fldCharType="begin"/>
          </w:r>
          <w:r>
            <w:rPr>
              <w:rFonts w:hint="eastAsia" w:ascii="微软雅黑" w:hAnsi="微软雅黑" w:eastAsia="微软雅黑" w:cs="微软雅黑"/>
              <w:color w:val="auto"/>
              <w:sz w:val="21"/>
              <w:szCs w:val="21"/>
            </w:rPr>
            <w:instrText xml:space="preserve"> PAGEREF _Toc31063 \h </w:instrText>
          </w:r>
          <w:r>
            <w:rPr>
              <w:rFonts w:hint="eastAsia" w:ascii="微软雅黑" w:hAnsi="微软雅黑" w:eastAsia="微软雅黑" w:cs="微软雅黑"/>
              <w:color w:val="auto"/>
              <w:sz w:val="21"/>
              <w:szCs w:val="21"/>
            </w:rPr>
            <w:fldChar w:fldCharType="separate"/>
          </w:r>
          <w:r>
            <w:rPr>
              <w:rFonts w:hint="eastAsia" w:ascii="微软雅黑" w:hAnsi="微软雅黑" w:eastAsia="微软雅黑" w:cs="微软雅黑"/>
              <w:color w:val="auto"/>
              <w:sz w:val="21"/>
              <w:szCs w:val="21"/>
            </w:rPr>
            <w:t>12</w:t>
          </w:r>
          <w:r>
            <w:rPr>
              <w:rFonts w:hint="eastAsia" w:ascii="微软雅黑" w:hAnsi="微软雅黑" w:eastAsia="微软雅黑" w:cs="微软雅黑"/>
              <w:color w:val="auto"/>
              <w:sz w:val="21"/>
              <w:szCs w:val="21"/>
            </w:rPr>
            <w:fldChar w:fldCharType="end"/>
          </w:r>
          <w:r>
            <w:rPr>
              <w:rFonts w:hint="eastAsia" w:ascii="微软雅黑" w:hAnsi="微软雅黑" w:eastAsia="微软雅黑" w:cs="微软雅黑"/>
              <w:bCs/>
              <w:color w:val="auto"/>
              <w:kern w:val="2"/>
              <w:sz w:val="21"/>
              <w:szCs w:val="21"/>
              <w:lang w:val="en-US" w:eastAsia="zh-CN" w:bidi="ar-SA"/>
            </w:rPr>
            <w:fldChar w:fldCharType="end"/>
          </w:r>
        </w:p>
        <w:p w14:paraId="75AFE61F">
          <w:pPr>
            <w:pStyle w:val="16"/>
            <w:tabs>
              <w:tab w:val="right" w:leader="dot" w:pos="9638"/>
            </w:tabs>
            <w:rPr>
              <w:rFonts w:hint="eastAsia" w:ascii="微软雅黑" w:hAnsi="微软雅黑" w:eastAsia="微软雅黑" w:cs="微软雅黑"/>
              <w:color w:val="auto"/>
              <w:sz w:val="21"/>
              <w:szCs w:val="21"/>
            </w:rPr>
          </w:pPr>
          <w:r>
            <w:rPr>
              <w:rFonts w:hint="eastAsia" w:ascii="微软雅黑" w:hAnsi="微软雅黑" w:eastAsia="微软雅黑" w:cs="微软雅黑"/>
              <w:bCs/>
              <w:color w:val="auto"/>
              <w:kern w:val="2"/>
              <w:sz w:val="21"/>
              <w:szCs w:val="21"/>
              <w:lang w:val="en-US" w:eastAsia="zh-CN" w:bidi="ar-SA"/>
            </w:rPr>
            <w:fldChar w:fldCharType="begin"/>
          </w:r>
          <w:r>
            <w:rPr>
              <w:rFonts w:hint="eastAsia" w:ascii="微软雅黑" w:hAnsi="微软雅黑" w:eastAsia="微软雅黑" w:cs="微软雅黑"/>
              <w:bCs/>
              <w:color w:val="auto"/>
              <w:kern w:val="2"/>
              <w:sz w:val="21"/>
              <w:szCs w:val="21"/>
              <w:lang w:val="en-US" w:eastAsia="zh-CN" w:bidi="ar-SA"/>
            </w:rPr>
            <w:instrText xml:space="preserve"> HYPERLINK \l _Toc21527 </w:instrText>
          </w:r>
          <w:r>
            <w:rPr>
              <w:rFonts w:hint="eastAsia" w:ascii="微软雅黑" w:hAnsi="微软雅黑" w:eastAsia="微软雅黑" w:cs="微软雅黑"/>
              <w:bCs/>
              <w:color w:val="auto"/>
              <w:kern w:val="2"/>
              <w:sz w:val="21"/>
              <w:szCs w:val="21"/>
              <w:lang w:val="en-US" w:eastAsia="zh-CN" w:bidi="ar-SA"/>
            </w:rPr>
            <w:fldChar w:fldCharType="separate"/>
          </w:r>
          <w:r>
            <w:rPr>
              <w:rFonts w:hint="eastAsia" w:ascii="微软雅黑" w:hAnsi="微软雅黑" w:eastAsia="微软雅黑" w:cs="微软雅黑"/>
              <w:color w:val="auto"/>
              <w:sz w:val="21"/>
              <w:szCs w:val="21"/>
            </w:rPr>
            <w:t>十</w:t>
          </w:r>
          <w:r>
            <w:rPr>
              <w:rFonts w:hint="eastAsia" w:ascii="微软雅黑" w:hAnsi="微软雅黑" w:eastAsia="微软雅黑" w:cs="微软雅黑"/>
              <w:color w:val="auto"/>
              <w:sz w:val="21"/>
              <w:szCs w:val="21"/>
              <w:lang w:val="en-US" w:eastAsia="zh-CN"/>
            </w:rPr>
            <w:t>五</w:t>
          </w:r>
          <w:r>
            <w:rPr>
              <w:rFonts w:hint="eastAsia" w:ascii="微软雅黑" w:hAnsi="微软雅黑" w:eastAsia="微软雅黑" w:cs="微软雅黑"/>
              <w:color w:val="auto"/>
              <w:sz w:val="21"/>
              <w:szCs w:val="21"/>
            </w:rPr>
            <w:t>、设备验收：</w:t>
          </w:r>
          <w:r>
            <w:rPr>
              <w:rFonts w:hint="eastAsia" w:ascii="微软雅黑" w:hAnsi="微软雅黑" w:eastAsia="微软雅黑" w:cs="微软雅黑"/>
              <w:color w:val="auto"/>
              <w:sz w:val="21"/>
              <w:szCs w:val="21"/>
            </w:rPr>
            <w:tab/>
          </w:r>
          <w:r>
            <w:rPr>
              <w:rFonts w:hint="eastAsia" w:ascii="微软雅黑" w:hAnsi="微软雅黑" w:eastAsia="微软雅黑" w:cs="微软雅黑"/>
              <w:color w:val="auto"/>
              <w:sz w:val="21"/>
              <w:szCs w:val="21"/>
            </w:rPr>
            <w:fldChar w:fldCharType="begin"/>
          </w:r>
          <w:r>
            <w:rPr>
              <w:rFonts w:hint="eastAsia" w:ascii="微软雅黑" w:hAnsi="微软雅黑" w:eastAsia="微软雅黑" w:cs="微软雅黑"/>
              <w:color w:val="auto"/>
              <w:sz w:val="21"/>
              <w:szCs w:val="21"/>
            </w:rPr>
            <w:instrText xml:space="preserve"> PAGEREF _Toc21527 \h </w:instrText>
          </w:r>
          <w:r>
            <w:rPr>
              <w:rFonts w:hint="eastAsia" w:ascii="微软雅黑" w:hAnsi="微软雅黑" w:eastAsia="微软雅黑" w:cs="微软雅黑"/>
              <w:color w:val="auto"/>
              <w:sz w:val="21"/>
              <w:szCs w:val="21"/>
            </w:rPr>
            <w:fldChar w:fldCharType="separate"/>
          </w:r>
          <w:r>
            <w:rPr>
              <w:rFonts w:hint="eastAsia" w:ascii="微软雅黑" w:hAnsi="微软雅黑" w:eastAsia="微软雅黑" w:cs="微软雅黑"/>
              <w:color w:val="auto"/>
              <w:sz w:val="21"/>
              <w:szCs w:val="21"/>
            </w:rPr>
            <w:t>12</w:t>
          </w:r>
          <w:r>
            <w:rPr>
              <w:rFonts w:hint="eastAsia" w:ascii="微软雅黑" w:hAnsi="微软雅黑" w:eastAsia="微软雅黑" w:cs="微软雅黑"/>
              <w:color w:val="auto"/>
              <w:sz w:val="21"/>
              <w:szCs w:val="21"/>
            </w:rPr>
            <w:fldChar w:fldCharType="end"/>
          </w:r>
          <w:r>
            <w:rPr>
              <w:rFonts w:hint="eastAsia" w:ascii="微软雅黑" w:hAnsi="微软雅黑" w:eastAsia="微软雅黑" w:cs="微软雅黑"/>
              <w:bCs/>
              <w:color w:val="auto"/>
              <w:kern w:val="2"/>
              <w:sz w:val="21"/>
              <w:szCs w:val="21"/>
              <w:lang w:val="en-US" w:eastAsia="zh-CN" w:bidi="ar-SA"/>
            </w:rPr>
            <w:fldChar w:fldCharType="end"/>
          </w:r>
        </w:p>
        <w:p w14:paraId="0E6C5DC8">
          <w:pPr>
            <w:pStyle w:val="16"/>
            <w:tabs>
              <w:tab w:val="right" w:leader="dot" w:pos="9638"/>
            </w:tabs>
            <w:rPr>
              <w:rFonts w:hint="eastAsia" w:ascii="微软雅黑" w:hAnsi="微软雅黑" w:eastAsia="微软雅黑" w:cs="微软雅黑"/>
              <w:color w:val="auto"/>
              <w:sz w:val="21"/>
              <w:szCs w:val="21"/>
            </w:rPr>
          </w:pPr>
          <w:r>
            <w:rPr>
              <w:rFonts w:hint="eastAsia" w:ascii="微软雅黑" w:hAnsi="微软雅黑" w:eastAsia="微软雅黑" w:cs="微软雅黑"/>
              <w:bCs/>
              <w:color w:val="auto"/>
              <w:kern w:val="2"/>
              <w:sz w:val="21"/>
              <w:szCs w:val="21"/>
              <w:lang w:val="en-US" w:eastAsia="zh-CN" w:bidi="ar-SA"/>
            </w:rPr>
            <w:fldChar w:fldCharType="begin"/>
          </w:r>
          <w:r>
            <w:rPr>
              <w:rFonts w:hint="eastAsia" w:ascii="微软雅黑" w:hAnsi="微软雅黑" w:eastAsia="微软雅黑" w:cs="微软雅黑"/>
              <w:bCs/>
              <w:color w:val="auto"/>
              <w:kern w:val="2"/>
              <w:sz w:val="21"/>
              <w:szCs w:val="21"/>
              <w:lang w:val="en-US" w:eastAsia="zh-CN" w:bidi="ar-SA"/>
            </w:rPr>
            <w:instrText xml:space="preserve"> HYPERLINK \l _Toc12305 </w:instrText>
          </w:r>
          <w:r>
            <w:rPr>
              <w:rFonts w:hint="eastAsia" w:ascii="微软雅黑" w:hAnsi="微软雅黑" w:eastAsia="微软雅黑" w:cs="微软雅黑"/>
              <w:bCs/>
              <w:color w:val="auto"/>
              <w:kern w:val="2"/>
              <w:sz w:val="21"/>
              <w:szCs w:val="21"/>
              <w:lang w:val="en-US" w:eastAsia="zh-CN" w:bidi="ar-SA"/>
            </w:rPr>
            <w:fldChar w:fldCharType="separate"/>
          </w:r>
          <w:r>
            <w:rPr>
              <w:rFonts w:hint="eastAsia" w:ascii="微软雅黑" w:hAnsi="微软雅黑" w:eastAsia="微软雅黑" w:cs="微软雅黑"/>
              <w:color w:val="auto"/>
              <w:sz w:val="21"/>
              <w:szCs w:val="21"/>
            </w:rPr>
            <w:t>十</w:t>
          </w:r>
          <w:r>
            <w:rPr>
              <w:rFonts w:hint="eastAsia" w:ascii="微软雅黑" w:hAnsi="微软雅黑" w:eastAsia="微软雅黑" w:cs="微软雅黑"/>
              <w:color w:val="auto"/>
              <w:sz w:val="21"/>
              <w:szCs w:val="21"/>
              <w:lang w:val="en-US" w:eastAsia="zh-CN"/>
            </w:rPr>
            <w:t>六</w:t>
          </w:r>
          <w:r>
            <w:rPr>
              <w:rFonts w:hint="eastAsia" w:ascii="微软雅黑" w:hAnsi="微软雅黑" w:eastAsia="微软雅黑" w:cs="微软雅黑"/>
              <w:color w:val="auto"/>
              <w:sz w:val="21"/>
              <w:szCs w:val="21"/>
            </w:rPr>
            <w:t>、设备质保要求</w:t>
          </w:r>
          <w:r>
            <w:rPr>
              <w:rFonts w:hint="eastAsia" w:ascii="微软雅黑" w:hAnsi="微软雅黑" w:eastAsia="微软雅黑" w:cs="微软雅黑"/>
              <w:color w:val="auto"/>
              <w:sz w:val="21"/>
              <w:szCs w:val="21"/>
            </w:rPr>
            <w:tab/>
          </w:r>
          <w:r>
            <w:rPr>
              <w:rFonts w:hint="eastAsia" w:ascii="微软雅黑" w:hAnsi="微软雅黑" w:eastAsia="微软雅黑" w:cs="微软雅黑"/>
              <w:color w:val="auto"/>
              <w:sz w:val="21"/>
              <w:szCs w:val="21"/>
            </w:rPr>
            <w:fldChar w:fldCharType="begin"/>
          </w:r>
          <w:r>
            <w:rPr>
              <w:rFonts w:hint="eastAsia" w:ascii="微软雅黑" w:hAnsi="微软雅黑" w:eastAsia="微软雅黑" w:cs="微软雅黑"/>
              <w:color w:val="auto"/>
              <w:sz w:val="21"/>
              <w:szCs w:val="21"/>
            </w:rPr>
            <w:instrText xml:space="preserve"> PAGEREF _Toc12305 \h </w:instrText>
          </w:r>
          <w:r>
            <w:rPr>
              <w:rFonts w:hint="eastAsia" w:ascii="微软雅黑" w:hAnsi="微软雅黑" w:eastAsia="微软雅黑" w:cs="微软雅黑"/>
              <w:color w:val="auto"/>
              <w:sz w:val="21"/>
              <w:szCs w:val="21"/>
            </w:rPr>
            <w:fldChar w:fldCharType="separate"/>
          </w:r>
          <w:r>
            <w:rPr>
              <w:rFonts w:hint="eastAsia" w:ascii="微软雅黑" w:hAnsi="微软雅黑" w:eastAsia="微软雅黑" w:cs="微软雅黑"/>
              <w:color w:val="auto"/>
              <w:sz w:val="21"/>
              <w:szCs w:val="21"/>
            </w:rPr>
            <w:t>13</w:t>
          </w:r>
          <w:r>
            <w:rPr>
              <w:rFonts w:hint="eastAsia" w:ascii="微软雅黑" w:hAnsi="微软雅黑" w:eastAsia="微软雅黑" w:cs="微软雅黑"/>
              <w:color w:val="auto"/>
              <w:sz w:val="21"/>
              <w:szCs w:val="21"/>
            </w:rPr>
            <w:fldChar w:fldCharType="end"/>
          </w:r>
          <w:r>
            <w:rPr>
              <w:rFonts w:hint="eastAsia" w:ascii="微软雅黑" w:hAnsi="微软雅黑" w:eastAsia="微软雅黑" w:cs="微软雅黑"/>
              <w:bCs/>
              <w:color w:val="auto"/>
              <w:kern w:val="2"/>
              <w:sz w:val="21"/>
              <w:szCs w:val="21"/>
              <w:lang w:val="en-US" w:eastAsia="zh-CN" w:bidi="ar-SA"/>
            </w:rPr>
            <w:fldChar w:fldCharType="end"/>
          </w:r>
        </w:p>
        <w:p w14:paraId="6071633F">
          <w:pPr>
            <w:pStyle w:val="16"/>
            <w:tabs>
              <w:tab w:val="right" w:leader="dot" w:pos="9638"/>
            </w:tabs>
            <w:rPr>
              <w:rFonts w:hint="eastAsia" w:ascii="微软雅黑" w:hAnsi="微软雅黑" w:eastAsia="微软雅黑" w:cs="微软雅黑"/>
              <w:color w:val="auto"/>
              <w:sz w:val="21"/>
              <w:szCs w:val="21"/>
            </w:rPr>
          </w:pPr>
          <w:r>
            <w:rPr>
              <w:rFonts w:hint="eastAsia" w:ascii="微软雅黑" w:hAnsi="微软雅黑" w:eastAsia="微软雅黑" w:cs="微软雅黑"/>
              <w:bCs/>
              <w:color w:val="auto"/>
              <w:kern w:val="2"/>
              <w:sz w:val="21"/>
              <w:szCs w:val="21"/>
              <w:lang w:val="en-US" w:eastAsia="zh-CN" w:bidi="ar-SA"/>
            </w:rPr>
            <w:fldChar w:fldCharType="begin"/>
          </w:r>
          <w:r>
            <w:rPr>
              <w:rFonts w:hint="eastAsia" w:ascii="微软雅黑" w:hAnsi="微软雅黑" w:eastAsia="微软雅黑" w:cs="微软雅黑"/>
              <w:bCs/>
              <w:color w:val="auto"/>
              <w:kern w:val="2"/>
              <w:sz w:val="21"/>
              <w:szCs w:val="21"/>
              <w:lang w:val="en-US" w:eastAsia="zh-CN" w:bidi="ar-SA"/>
            </w:rPr>
            <w:instrText xml:space="preserve"> HYPERLINK \l _Toc2854 </w:instrText>
          </w:r>
          <w:r>
            <w:rPr>
              <w:rFonts w:hint="eastAsia" w:ascii="微软雅黑" w:hAnsi="微软雅黑" w:eastAsia="微软雅黑" w:cs="微软雅黑"/>
              <w:bCs/>
              <w:color w:val="auto"/>
              <w:kern w:val="2"/>
              <w:sz w:val="21"/>
              <w:szCs w:val="21"/>
              <w:lang w:val="en-US" w:eastAsia="zh-CN" w:bidi="ar-SA"/>
            </w:rPr>
            <w:fldChar w:fldCharType="separate"/>
          </w:r>
          <w:r>
            <w:rPr>
              <w:rFonts w:hint="eastAsia" w:ascii="微软雅黑" w:hAnsi="微软雅黑" w:eastAsia="微软雅黑" w:cs="微软雅黑"/>
              <w:color w:val="auto"/>
              <w:sz w:val="21"/>
              <w:szCs w:val="21"/>
              <w:lang w:val="en-US" w:eastAsia="zh-CN"/>
            </w:rPr>
            <w:t>十七、</w:t>
          </w:r>
          <w:r>
            <w:rPr>
              <w:rFonts w:hint="eastAsia" w:ascii="微软雅黑" w:hAnsi="微软雅黑" w:eastAsia="微软雅黑" w:cs="微软雅黑"/>
              <w:color w:val="auto"/>
              <w:sz w:val="21"/>
              <w:szCs w:val="21"/>
            </w:rPr>
            <w:t>对于本次采购设备付款方式的特殊要求</w:t>
          </w:r>
          <w:r>
            <w:rPr>
              <w:rFonts w:hint="eastAsia" w:ascii="微软雅黑" w:hAnsi="微软雅黑" w:eastAsia="微软雅黑" w:cs="微软雅黑"/>
              <w:color w:val="auto"/>
              <w:sz w:val="21"/>
              <w:szCs w:val="21"/>
            </w:rPr>
            <w:tab/>
          </w:r>
          <w:r>
            <w:rPr>
              <w:rFonts w:hint="eastAsia" w:ascii="微软雅黑" w:hAnsi="微软雅黑" w:eastAsia="微软雅黑" w:cs="微软雅黑"/>
              <w:color w:val="auto"/>
              <w:sz w:val="21"/>
              <w:szCs w:val="21"/>
            </w:rPr>
            <w:fldChar w:fldCharType="begin"/>
          </w:r>
          <w:r>
            <w:rPr>
              <w:rFonts w:hint="eastAsia" w:ascii="微软雅黑" w:hAnsi="微软雅黑" w:eastAsia="微软雅黑" w:cs="微软雅黑"/>
              <w:color w:val="auto"/>
              <w:sz w:val="21"/>
              <w:szCs w:val="21"/>
            </w:rPr>
            <w:instrText xml:space="preserve"> PAGEREF _Toc2854 \h </w:instrText>
          </w:r>
          <w:r>
            <w:rPr>
              <w:rFonts w:hint="eastAsia" w:ascii="微软雅黑" w:hAnsi="微软雅黑" w:eastAsia="微软雅黑" w:cs="微软雅黑"/>
              <w:color w:val="auto"/>
              <w:sz w:val="21"/>
              <w:szCs w:val="21"/>
            </w:rPr>
            <w:fldChar w:fldCharType="separate"/>
          </w:r>
          <w:r>
            <w:rPr>
              <w:rFonts w:hint="eastAsia" w:ascii="微软雅黑" w:hAnsi="微软雅黑" w:eastAsia="微软雅黑" w:cs="微软雅黑"/>
              <w:color w:val="auto"/>
              <w:sz w:val="21"/>
              <w:szCs w:val="21"/>
            </w:rPr>
            <w:t>18</w:t>
          </w:r>
          <w:r>
            <w:rPr>
              <w:rFonts w:hint="eastAsia" w:ascii="微软雅黑" w:hAnsi="微软雅黑" w:eastAsia="微软雅黑" w:cs="微软雅黑"/>
              <w:color w:val="auto"/>
              <w:sz w:val="21"/>
              <w:szCs w:val="21"/>
            </w:rPr>
            <w:fldChar w:fldCharType="end"/>
          </w:r>
          <w:r>
            <w:rPr>
              <w:rFonts w:hint="eastAsia" w:ascii="微软雅黑" w:hAnsi="微软雅黑" w:eastAsia="微软雅黑" w:cs="微软雅黑"/>
              <w:bCs/>
              <w:color w:val="auto"/>
              <w:kern w:val="2"/>
              <w:sz w:val="21"/>
              <w:szCs w:val="21"/>
              <w:lang w:val="en-US" w:eastAsia="zh-CN" w:bidi="ar-SA"/>
            </w:rPr>
            <w:fldChar w:fldCharType="end"/>
          </w:r>
        </w:p>
        <w:p w14:paraId="5CD61C61">
          <w:pPr>
            <w:pStyle w:val="16"/>
            <w:tabs>
              <w:tab w:val="right" w:leader="dot" w:pos="9638"/>
            </w:tabs>
            <w:rPr>
              <w:color w:val="auto"/>
            </w:rPr>
          </w:pPr>
          <w:r>
            <w:rPr>
              <w:rFonts w:hint="eastAsia" w:ascii="微软雅黑" w:hAnsi="微软雅黑" w:eastAsia="微软雅黑" w:cs="微软雅黑"/>
              <w:bCs/>
              <w:color w:val="auto"/>
              <w:kern w:val="2"/>
              <w:sz w:val="21"/>
              <w:szCs w:val="21"/>
              <w:lang w:val="en-US" w:eastAsia="zh-CN" w:bidi="ar-SA"/>
            </w:rPr>
            <w:fldChar w:fldCharType="begin"/>
          </w:r>
          <w:r>
            <w:rPr>
              <w:rFonts w:hint="eastAsia" w:ascii="微软雅黑" w:hAnsi="微软雅黑" w:eastAsia="微软雅黑" w:cs="微软雅黑"/>
              <w:bCs/>
              <w:color w:val="auto"/>
              <w:kern w:val="2"/>
              <w:sz w:val="21"/>
              <w:szCs w:val="21"/>
              <w:lang w:val="en-US" w:eastAsia="zh-CN" w:bidi="ar-SA"/>
            </w:rPr>
            <w:instrText xml:space="preserve"> HYPERLINK \l _Toc20938 </w:instrText>
          </w:r>
          <w:r>
            <w:rPr>
              <w:rFonts w:hint="eastAsia" w:ascii="微软雅黑" w:hAnsi="微软雅黑" w:eastAsia="微软雅黑" w:cs="微软雅黑"/>
              <w:bCs/>
              <w:color w:val="auto"/>
              <w:kern w:val="2"/>
              <w:sz w:val="21"/>
              <w:szCs w:val="21"/>
              <w:lang w:val="en-US" w:eastAsia="zh-CN" w:bidi="ar-SA"/>
            </w:rPr>
            <w:fldChar w:fldCharType="separate"/>
          </w:r>
          <w:r>
            <w:rPr>
              <w:rFonts w:hint="eastAsia" w:ascii="微软雅黑" w:hAnsi="微软雅黑" w:eastAsia="微软雅黑" w:cs="微软雅黑"/>
              <w:bCs/>
              <w:color w:val="auto"/>
              <w:sz w:val="21"/>
              <w:szCs w:val="21"/>
            </w:rPr>
            <w:t>十</w:t>
          </w:r>
          <w:r>
            <w:rPr>
              <w:rFonts w:hint="eastAsia" w:ascii="微软雅黑" w:hAnsi="微软雅黑" w:eastAsia="微软雅黑" w:cs="微软雅黑"/>
              <w:bCs/>
              <w:color w:val="auto"/>
              <w:sz w:val="21"/>
              <w:szCs w:val="21"/>
              <w:lang w:val="en-US" w:eastAsia="zh-CN"/>
            </w:rPr>
            <w:t>八</w:t>
          </w:r>
          <w:r>
            <w:rPr>
              <w:rFonts w:hint="eastAsia" w:ascii="微软雅黑" w:hAnsi="微软雅黑" w:eastAsia="微软雅黑" w:cs="微软雅黑"/>
              <w:color w:val="auto"/>
              <w:sz w:val="21"/>
              <w:szCs w:val="21"/>
            </w:rPr>
            <w:t>、其他要求</w:t>
          </w:r>
          <w:r>
            <w:rPr>
              <w:rFonts w:hint="eastAsia" w:ascii="微软雅黑" w:hAnsi="微软雅黑" w:eastAsia="微软雅黑" w:cs="微软雅黑"/>
              <w:color w:val="auto"/>
              <w:sz w:val="21"/>
              <w:szCs w:val="21"/>
            </w:rPr>
            <w:tab/>
          </w:r>
          <w:r>
            <w:rPr>
              <w:rFonts w:hint="eastAsia" w:ascii="微软雅黑" w:hAnsi="微软雅黑" w:eastAsia="微软雅黑" w:cs="微软雅黑"/>
              <w:color w:val="auto"/>
              <w:sz w:val="21"/>
              <w:szCs w:val="21"/>
            </w:rPr>
            <w:fldChar w:fldCharType="begin"/>
          </w:r>
          <w:r>
            <w:rPr>
              <w:rFonts w:hint="eastAsia" w:ascii="微软雅黑" w:hAnsi="微软雅黑" w:eastAsia="微软雅黑" w:cs="微软雅黑"/>
              <w:color w:val="auto"/>
              <w:sz w:val="21"/>
              <w:szCs w:val="21"/>
            </w:rPr>
            <w:instrText xml:space="preserve"> PAGEREF _Toc20938 \h </w:instrText>
          </w:r>
          <w:r>
            <w:rPr>
              <w:rFonts w:hint="eastAsia" w:ascii="微软雅黑" w:hAnsi="微软雅黑" w:eastAsia="微软雅黑" w:cs="微软雅黑"/>
              <w:color w:val="auto"/>
              <w:sz w:val="21"/>
              <w:szCs w:val="21"/>
            </w:rPr>
            <w:fldChar w:fldCharType="separate"/>
          </w:r>
          <w:r>
            <w:rPr>
              <w:rFonts w:hint="eastAsia" w:ascii="微软雅黑" w:hAnsi="微软雅黑" w:eastAsia="微软雅黑" w:cs="微软雅黑"/>
              <w:color w:val="auto"/>
              <w:sz w:val="21"/>
              <w:szCs w:val="21"/>
            </w:rPr>
            <w:t>18</w:t>
          </w:r>
          <w:r>
            <w:rPr>
              <w:rFonts w:hint="eastAsia" w:ascii="微软雅黑" w:hAnsi="微软雅黑" w:eastAsia="微软雅黑" w:cs="微软雅黑"/>
              <w:color w:val="auto"/>
              <w:sz w:val="21"/>
              <w:szCs w:val="21"/>
            </w:rPr>
            <w:fldChar w:fldCharType="end"/>
          </w:r>
          <w:r>
            <w:rPr>
              <w:rFonts w:hint="eastAsia" w:ascii="微软雅黑" w:hAnsi="微软雅黑" w:eastAsia="微软雅黑" w:cs="微软雅黑"/>
              <w:bCs/>
              <w:color w:val="auto"/>
              <w:kern w:val="2"/>
              <w:sz w:val="21"/>
              <w:szCs w:val="21"/>
              <w:lang w:val="en-US" w:eastAsia="zh-CN" w:bidi="ar-SA"/>
            </w:rPr>
            <w:fldChar w:fldCharType="end"/>
          </w:r>
        </w:p>
        <w:p w14:paraId="5A1A1B76">
          <w:pPr>
            <w:jc w:val="both"/>
            <w:rPr>
              <w:rFonts w:hint="eastAsia" w:ascii="宋体" w:hAnsi="宋体" w:eastAsia="宋体" w:cs="Times New Roman"/>
              <w:bCs/>
              <w:color w:val="auto"/>
              <w:kern w:val="2"/>
              <w:sz w:val="21"/>
              <w:szCs w:val="18"/>
              <w:lang w:val="en-US" w:eastAsia="zh-CN" w:bidi="ar-SA"/>
            </w:rPr>
            <w:sectPr>
              <w:pgSz w:w="11906" w:h="16838"/>
              <w:pgMar w:top="680" w:right="1134" w:bottom="680" w:left="1134" w:header="567" w:footer="0" w:gutter="0"/>
              <w:cols w:space="720" w:num="1"/>
              <w:docGrid w:type="lines" w:linePitch="312" w:charSpace="0"/>
            </w:sectPr>
          </w:pPr>
          <w:r>
            <w:rPr>
              <w:rFonts w:hint="eastAsia" w:ascii="宋体" w:hAnsi="宋体" w:eastAsia="宋体" w:cs="Times New Roman"/>
              <w:bCs/>
              <w:color w:val="auto"/>
              <w:kern w:val="2"/>
              <w:szCs w:val="18"/>
              <w:lang w:val="en-US" w:eastAsia="zh-CN" w:bidi="ar-SA"/>
            </w:rPr>
            <w:fldChar w:fldCharType="end"/>
          </w:r>
        </w:p>
      </w:sdtContent>
    </w:sdt>
    <w:p w14:paraId="635A1C87">
      <w:pPr>
        <w:jc w:val="both"/>
        <w:rPr>
          <w:rFonts w:hint="eastAsia" w:ascii="宋体" w:hAnsi="宋体"/>
          <w:b/>
          <w:bCs/>
          <w:color w:val="auto"/>
          <w:sz w:val="32"/>
          <w:szCs w:val="18"/>
        </w:rPr>
      </w:pPr>
    </w:p>
    <w:p w14:paraId="105E48CC">
      <w:pPr>
        <w:jc w:val="both"/>
        <w:rPr>
          <w:rFonts w:hint="eastAsia" w:ascii="宋体" w:hAnsi="宋体"/>
          <w:b/>
          <w:bCs/>
          <w:color w:val="auto"/>
          <w:sz w:val="32"/>
          <w:szCs w:val="18"/>
        </w:rPr>
      </w:pPr>
    </w:p>
    <w:p w14:paraId="7C2FA930">
      <w:pPr>
        <w:numPr>
          <w:ilvl w:val="0"/>
          <w:numId w:val="3"/>
        </w:numPr>
        <w:spacing w:line="240" w:lineRule="exact"/>
        <w:outlineLvl w:val="0"/>
        <w:rPr>
          <w:rFonts w:hint="eastAsia" w:ascii="微软雅黑" w:hAnsi="微软雅黑" w:eastAsia="微软雅黑" w:cs="微软雅黑"/>
          <w:color w:val="auto"/>
          <w:sz w:val="21"/>
          <w:szCs w:val="21"/>
        </w:rPr>
      </w:pPr>
      <w:bookmarkStart w:id="0" w:name="_Toc5869"/>
      <w:r>
        <w:rPr>
          <w:rStyle w:val="28"/>
          <w:rFonts w:hint="eastAsia" w:ascii="微软雅黑" w:hAnsi="微软雅黑" w:eastAsia="微软雅黑" w:cs="微软雅黑"/>
          <w:color w:val="auto"/>
          <w:sz w:val="21"/>
          <w:szCs w:val="21"/>
        </w:rPr>
        <w:t>项目概况：</w:t>
      </w:r>
      <w:bookmarkEnd w:id="0"/>
      <w:r>
        <w:rPr>
          <w:rStyle w:val="29"/>
          <w:rFonts w:hint="eastAsia" w:ascii="微软雅黑" w:hAnsi="微软雅黑" w:eastAsia="微软雅黑" w:cs="微软雅黑"/>
          <w:color w:val="auto"/>
          <w:sz w:val="21"/>
          <w:szCs w:val="21"/>
        </w:rPr>
        <w:t xml:space="preserve"> </w:t>
      </w:r>
      <w:r>
        <w:rPr>
          <w:rFonts w:hint="eastAsia" w:ascii="微软雅黑" w:hAnsi="微软雅黑" w:eastAsia="微软雅黑" w:cs="微软雅黑"/>
          <w:color w:val="auto"/>
          <w:sz w:val="21"/>
          <w:szCs w:val="21"/>
        </w:rPr>
        <w:t xml:space="preserve">  </w:t>
      </w:r>
    </w:p>
    <w:p w14:paraId="2559F3F6">
      <w:pPr>
        <w:numPr>
          <w:ilvl w:val="0"/>
          <w:numId w:val="0"/>
        </w:numPr>
        <w:spacing w:line="240" w:lineRule="auto"/>
        <w:ind w:firstLine="420" w:firstLineChars="20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1、车间为</w:t>
      </w:r>
      <w:r>
        <w:rPr>
          <w:rFonts w:hint="eastAsia" w:ascii="微软雅黑" w:hAnsi="微软雅黑" w:eastAsia="微软雅黑" w:cs="微软雅黑"/>
          <w:color w:val="auto"/>
          <w:sz w:val="21"/>
          <w:szCs w:val="21"/>
        </w:rPr>
        <w:t>钢结构生产车间，系统主要承载AGV自动搬运小车通信，同时支撑车间工业扫码终端无线网络接入</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highlight w:val="none"/>
          <w:lang w:val="en-US" w:eastAsia="zh-CN"/>
        </w:rPr>
        <w:t>办公室为钢构混凝土办公室，网络需满足日常办公要求</w:t>
      </w:r>
      <w:r>
        <w:rPr>
          <w:rFonts w:hint="eastAsia" w:ascii="微软雅黑" w:hAnsi="微软雅黑" w:eastAsia="微软雅黑" w:cs="微软雅黑"/>
          <w:color w:val="auto"/>
          <w:sz w:val="21"/>
          <w:szCs w:val="21"/>
          <w:highlight w:val="none"/>
        </w:rPr>
        <w:t>。</w:t>
      </w:r>
    </w:p>
    <w:p w14:paraId="1CA13BB4">
      <w:pPr>
        <w:numPr>
          <w:ilvl w:val="0"/>
          <w:numId w:val="0"/>
        </w:numPr>
        <w:spacing w:line="240" w:lineRule="auto"/>
        <w:ind w:firstLine="420" w:firstLineChars="20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2、本工程为交钥匙工程，</w:t>
      </w:r>
      <w:r>
        <w:rPr>
          <w:rFonts w:hint="eastAsia" w:ascii="微软雅黑" w:hAnsi="微软雅黑" w:eastAsia="微软雅黑" w:cs="微软雅黑"/>
          <w:color w:val="auto"/>
          <w:sz w:val="21"/>
          <w:szCs w:val="21"/>
        </w:rPr>
        <w:t>中标单位负责全套无线硬件供货、运输、现场硬件安装、布线、天线装配、接地防水、设备上电、全套无线网络规划、参数配置、射频调试、漫游优化、AGV整车联动测试、</w:t>
      </w:r>
      <w:r>
        <w:rPr>
          <w:rFonts w:hint="eastAsia" w:ascii="微软雅黑" w:hAnsi="微软雅黑" w:eastAsia="微软雅黑" w:cs="微软雅黑"/>
          <w:color w:val="auto"/>
          <w:sz w:val="21"/>
          <w:szCs w:val="21"/>
          <w:lang w:val="en-US" w:eastAsia="zh-CN"/>
        </w:rPr>
        <w:t>人员培训</w:t>
      </w:r>
      <w:r>
        <w:rPr>
          <w:rFonts w:hint="eastAsia" w:ascii="微软雅黑" w:hAnsi="微软雅黑" w:eastAsia="微软雅黑" w:cs="微软雅黑"/>
          <w:color w:val="auto"/>
          <w:sz w:val="21"/>
          <w:szCs w:val="21"/>
        </w:rPr>
        <w:t>问题整改直至系统验收合格交付。</w:t>
      </w:r>
    </w:p>
    <w:p w14:paraId="03DF9A3C">
      <w:pPr>
        <w:numPr>
          <w:ilvl w:val="0"/>
          <w:numId w:val="0"/>
        </w:numPr>
        <w:spacing w:line="240" w:lineRule="auto"/>
        <w:ind w:firstLine="420" w:firstLineChars="200"/>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lang w:val="en-US" w:eastAsia="zh-CN"/>
        </w:rPr>
        <w:t>3、车间的</w:t>
      </w:r>
      <w:r>
        <w:rPr>
          <w:rFonts w:hint="eastAsia" w:ascii="微软雅黑" w:hAnsi="微软雅黑" w:eastAsia="微软雅黑" w:cs="微软雅黑"/>
          <w:color w:val="auto"/>
          <w:sz w:val="21"/>
          <w:szCs w:val="21"/>
        </w:rPr>
        <w:t>整套无线网络部署、配置、优化结果必须完全匹配现场在用AGV小车原厂无线网络技术规范；因无线网络参数设置不达标导致AGV卡顿、掉线、停机故障，由中标方无偿持续整改，直至满足指标</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highlight w:val="none"/>
          <w:lang w:val="en-US" w:eastAsia="zh-CN"/>
        </w:rPr>
        <w:t>办公室无线网络的</w:t>
      </w:r>
      <w:r>
        <w:rPr>
          <w:rFonts w:hint="eastAsia" w:ascii="微软雅黑" w:hAnsi="微软雅黑" w:eastAsia="微软雅黑" w:cs="微软雅黑"/>
          <w:color w:val="auto"/>
          <w:sz w:val="21"/>
          <w:szCs w:val="21"/>
          <w:highlight w:val="none"/>
        </w:rPr>
        <w:t>部署、配置、优化结果</w:t>
      </w:r>
      <w:r>
        <w:rPr>
          <w:rFonts w:hint="eastAsia" w:ascii="微软雅黑" w:hAnsi="微软雅黑" w:eastAsia="微软雅黑" w:cs="微软雅黑"/>
          <w:color w:val="auto"/>
          <w:sz w:val="21"/>
          <w:szCs w:val="21"/>
          <w:highlight w:val="none"/>
          <w:lang w:val="en-US" w:eastAsia="zh-CN"/>
        </w:rPr>
        <w:t>必须满足中标方的全区域设备办公同步使用无卡顿，掉线，停机故障</w:t>
      </w:r>
      <w:r>
        <w:rPr>
          <w:rFonts w:hint="eastAsia" w:ascii="微软雅黑" w:hAnsi="微软雅黑" w:eastAsia="微软雅黑" w:cs="微软雅黑"/>
          <w:color w:val="auto"/>
          <w:sz w:val="21"/>
          <w:szCs w:val="21"/>
          <w:highlight w:val="none"/>
        </w:rPr>
        <w:t>。</w:t>
      </w:r>
    </w:p>
    <w:p w14:paraId="05687867">
      <w:pPr>
        <w:numPr>
          <w:ilvl w:val="0"/>
          <w:numId w:val="0"/>
        </w:numPr>
        <w:spacing w:line="240" w:lineRule="auto"/>
        <w:ind w:firstLine="420" w:firstLineChars="200"/>
        <w:rPr>
          <w:rFonts w:hint="eastAsia" w:ascii="微软雅黑" w:hAnsi="微软雅黑" w:eastAsia="微软雅黑" w:cs="微软雅黑"/>
          <w:b/>
          <w:color w:val="auto"/>
          <w:sz w:val="21"/>
          <w:szCs w:val="21"/>
          <w:lang w:val="en-US" w:eastAsia="zh-CN"/>
        </w:rPr>
      </w:pP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组网架构：AC+FIT 瘦 AP企业级无线网络架构。</w:t>
      </w:r>
    </w:p>
    <w:p w14:paraId="425C3C16">
      <w:pPr>
        <w:pStyle w:val="2"/>
        <w:numPr>
          <w:ilvl w:val="0"/>
          <w:numId w:val="0"/>
        </w:numPr>
        <w:bidi w:val="0"/>
        <w:rPr>
          <w:rFonts w:hint="eastAsia" w:ascii="微软雅黑" w:hAnsi="微软雅黑" w:eastAsia="微软雅黑" w:cs="微软雅黑"/>
          <w:color w:val="auto"/>
          <w:sz w:val="21"/>
          <w:szCs w:val="21"/>
        </w:rPr>
      </w:pPr>
      <w:bookmarkStart w:id="1" w:name="_Toc24194"/>
      <w:r>
        <w:rPr>
          <w:rFonts w:hint="eastAsia" w:ascii="微软雅黑" w:hAnsi="微软雅黑" w:eastAsia="微软雅黑" w:cs="微软雅黑"/>
          <w:color w:val="auto"/>
          <w:sz w:val="21"/>
          <w:szCs w:val="21"/>
          <w:lang w:val="en-US" w:eastAsia="zh-CN"/>
        </w:rPr>
        <w:t>二、</w:t>
      </w:r>
      <w:r>
        <w:rPr>
          <w:rFonts w:hint="eastAsia" w:ascii="微软雅黑" w:hAnsi="微软雅黑" w:eastAsia="微软雅黑" w:cs="微软雅黑"/>
          <w:color w:val="auto"/>
          <w:sz w:val="21"/>
          <w:szCs w:val="21"/>
        </w:rPr>
        <w:t>设备技术性能参数详细要求 ：</w:t>
      </w:r>
      <w:bookmarkEnd w:id="1"/>
    </w:p>
    <w:p w14:paraId="025B0A30">
      <w:pPr>
        <w:numPr>
          <w:ilvl w:val="0"/>
          <w:numId w:val="0"/>
        </w:numPr>
        <w:spacing w:line="240" w:lineRule="auto"/>
        <w:ind w:left="0" w:leftChars="0" w:firstLine="0" w:firstLineChars="0"/>
        <w:outlineLvl w:val="1"/>
        <w:rPr>
          <w:rFonts w:hint="eastAsia" w:ascii="微软雅黑" w:hAnsi="微软雅黑" w:eastAsia="微软雅黑" w:cs="微软雅黑"/>
          <w:color w:val="auto"/>
          <w:sz w:val="21"/>
          <w:szCs w:val="21"/>
          <w:lang w:val="en-US" w:eastAsia="zh-CN"/>
        </w:rPr>
      </w:pPr>
      <w:bookmarkStart w:id="2" w:name="_Toc20051"/>
      <w:r>
        <w:rPr>
          <w:rFonts w:hint="eastAsia" w:ascii="微软雅黑" w:hAnsi="微软雅黑" w:eastAsia="微软雅黑" w:cs="微软雅黑"/>
          <w:color w:val="auto"/>
          <w:sz w:val="21"/>
          <w:szCs w:val="21"/>
          <w:lang w:val="en-US" w:eastAsia="zh-CN"/>
        </w:rPr>
        <w:t>2.1无线设备品牌范围：H3C、华为、RUCKUS，ARUBA企业级工业无线产品，严禁家用路由器、消费级AP</w:t>
      </w:r>
      <w:bookmarkEnd w:id="2"/>
    </w:p>
    <w:p w14:paraId="4BA8BDA9">
      <w:pPr>
        <w:numPr>
          <w:ilvl w:val="0"/>
          <w:numId w:val="0"/>
        </w:numPr>
        <w:spacing w:line="240" w:lineRule="auto"/>
        <w:ind w:left="0" w:leftChars="0" w:firstLine="0" w:firstLineChars="0"/>
        <w:outlineLvl w:val="1"/>
        <w:rPr>
          <w:rFonts w:hint="eastAsia" w:ascii="微软雅黑" w:hAnsi="微软雅黑" w:eastAsia="微软雅黑" w:cs="微软雅黑"/>
          <w:color w:val="auto"/>
          <w:sz w:val="21"/>
          <w:szCs w:val="21"/>
          <w:lang w:val="en-US" w:eastAsia="zh-CN"/>
        </w:rPr>
      </w:pPr>
      <w:bookmarkStart w:id="3" w:name="_Toc675"/>
      <w:r>
        <w:rPr>
          <w:rFonts w:hint="eastAsia" w:ascii="微软雅黑" w:hAnsi="微软雅黑" w:eastAsia="微软雅黑" w:cs="微软雅黑"/>
          <w:color w:val="auto"/>
          <w:sz w:val="21"/>
          <w:szCs w:val="21"/>
          <w:lang w:val="en-US" w:eastAsia="zh-CN"/>
        </w:rPr>
        <w:t>2.2 AC 无线控制器强制参数</w:t>
      </w:r>
      <w:bookmarkEnd w:id="3"/>
    </w:p>
    <w:p w14:paraId="16EC4F0C">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①配套管理本次项目全部工业 FIT AP，管理容量预留 30% 扩容余量；</w:t>
      </w:r>
    </w:p>
    <w:p w14:paraId="3665C076">
      <w:pPr>
        <w:numPr>
          <w:ilvl w:val="0"/>
          <w:numId w:val="0"/>
        </w:numPr>
        <w:spacing w:line="240" w:lineRule="auto"/>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lang w:val="en-US" w:eastAsia="zh-CN"/>
        </w:rPr>
        <w:t>②硬件端口：</w:t>
      </w:r>
      <w:r>
        <w:rPr>
          <w:rFonts w:hint="eastAsia" w:ascii="微软雅黑" w:hAnsi="微软雅黑" w:eastAsia="微软雅黑" w:cs="微软雅黑"/>
          <w:color w:val="auto"/>
          <w:sz w:val="21"/>
          <w:szCs w:val="21"/>
          <w:highlight w:val="none"/>
          <w:lang w:val="en-US" w:eastAsia="zh-CN"/>
        </w:rPr>
        <w:t>≥2×10G SFP + 万兆上行光口（含万兆多模光模块）、≥16×GE 电口，≥8×GE 千兆光，支持链路聚合；</w:t>
      </w:r>
    </w:p>
    <w:p w14:paraId="1ABC6DAB">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③供电：双冗余电源，支持 7×24h 不间断运行；</w:t>
      </w:r>
    </w:p>
    <w:p w14:paraId="60349BF6">
      <w:pPr>
        <w:numPr>
          <w:ilvl w:val="0"/>
          <w:numId w:val="0"/>
        </w:numPr>
        <w:spacing w:line="240" w:lineRule="auto"/>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④业务功能：支持 VLAN 隔离、802.11r 快速漫游、MAC 地址绑定 DHCP、本地转发（断外网不中断车间 AGV 业务）、非法 AP 检测、无线漫游日志存储、射频故障实时告警，</w:t>
      </w:r>
      <w:r>
        <w:rPr>
          <w:rFonts w:hint="eastAsia" w:ascii="微软雅黑" w:hAnsi="微软雅黑" w:eastAsia="微软雅黑" w:cs="微软雅黑"/>
          <w:color w:val="auto"/>
          <w:sz w:val="21"/>
          <w:szCs w:val="21"/>
          <w:highlight w:val="none"/>
          <w:lang w:val="en-US" w:eastAsia="zh-CN"/>
        </w:rPr>
        <w:t>支撑多SSID划分</w:t>
      </w:r>
    </w:p>
    <w:p w14:paraId="5279007A">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⑤安全能力：支持 ACL 三层隔离，禁止 AGV 业务网段与办公网段互通；支持无线用户黑白名单、故障日志导出留存。</w:t>
      </w:r>
    </w:p>
    <w:p w14:paraId="145FA82F">
      <w:pPr>
        <w:numPr>
          <w:ilvl w:val="0"/>
          <w:numId w:val="0"/>
        </w:numPr>
        <w:spacing w:line="240" w:lineRule="auto"/>
        <w:ind w:left="0" w:leftChars="0" w:firstLine="0" w:firstLineChars="0"/>
        <w:outlineLvl w:val="1"/>
        <w:rPr>
          <w:rFonts w:hint="eastAsia" w:ascii="微软雅黑" w:hAnsi="微软雅黑" w:eastAsia="微软雅黑" w:cs="微软雅黑"/>
          <w:color w:val="auto"/>
          <w:sz w:val="21"/>
          <w:szCs w:val="21"/>
          <w:lang w:val="en-US" w:eastAsia="zh-CN"/>
        </w:rPr>
      </w:pPr>
      <w:bookmarkStart w:id="4" w:name="_Toc5147"/>
      <w:r>
        <w:rPr>
          <w:rFonts w:hint="eastAsia" w:ascii="微软雅黑" w:hAnsi="微软雅黑" w:eastAsia="微软雅黑" w:cs="微软雅黑"/>
          <w:color w:val="auto"/>
          <w:sz w:val="21"/>
          <w:szCs w:val="21"/>
          <w:lang w:val="en-US" w:eastAsia="zh-CN"/>
        </w:rPr>
        <w:t>2.3 厂房内工业瘦 FIT AP 核心参数</w:t>
      </w:r>
      <w:bookmarkEnd w:id="4"/>
    </w:p>
    <w:p w14:paraId="7D7D20C6">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①无线标准：原生支持 Wi</w:t>
      </w:r>
      <w:r>
        <w:rPr>
          <w:rFonts w:hint="eastAsia" w:ascii="微软雅黑" w:hAnsi="微软雅黑" w:eastAsia="微软雅黑" w:cs="微软雅黑"/>
          <w:color w:val="auto"/>
          <w:sz w:val="21"/>
          <w:szCs w:val="21"/>
          <w:lang w:val="en-US" w:eastAsia="zh-CN"/>
        </w:rPr>
        <w:noBreakHyphen/>
      </w:r>
      <w:r>
        <w:rPr>
          <w:rFonts w:hint="eastAsia" w:ascii="微软雅黑" w:hAnsi="微软雅黑" w:eastAsia="微软雅黑" w:cs="微软雅黑"/>
          <w:color w:val="auto"/>
          <w:sz w:val="21"/>
          <w:szCs w:val="21"/>
          <w:lang w:val="en-US" w:eastAsia="zh-CN"/>
        </w:rPr>
        <w:t>Fi7（802.11be），向下兼容 Wi</w:t>
      </w:r>
      <w:r>
        <w:rPr>
          <w:rFonts w:hint="eastAsia" w:ascii="微软雅黑" w:hAnsi="微软雅黑" w:eastAsia="微软雅黑" w:cs="微软雅黑"/>
          <w:color w:val="auto"/>
          <w:sz w:val="21"/>
          <w:szCs w:val="21"/>
          <w:lang w:val="en-US" w:eastAsia="zh-CN"/>
        </w:rPr>
        <w:noBreakHyphen/>
      </w:r>
      <w:r>
        <w:rPr>
          <w:rFonts w:hint="eastAsia" w:ascii="微软雅黑" w:hAnsi="微软雅黑" w:eastAsia="微软雅黑" w:cs="微软雅黑"/>
          <w:color w:val="auto"/>
          <w:sz w:val="21"/>
          <w:szCs w:val="21"/>
          <w:lang w:val="en-US" w:eastAsia="zh-CN"/>
        </w:rPr>
        <w:t>Fi6/ Wi</w:t>
      </w:r>
      <w:r>
        <w:rPr>
          <w:rFonts w:hint="eastAsia" w:ascii="微软雅黑" w:hAnsi="微软雅黑" w:eastAsia="微软雅黑" w:cs="微软雅黑"/>
          <w:color w:val="auto"/>
          <w:sz w:val="21"/>
          <w:szCs w:val="21"/>
          <w:lang w:val="en-US" w:eastAsia="zh-CN"/>
        </w:rPr>
        <w:noBreakHyphen/>
      </w:r>
      <w:r>
        <w:rPr>
          <w:rFonts w:hint="eastAsia" w:ascii="微软雅黑" w:hAnsi="微软雅黑" w:eastAsia="微软雅黑" w:cs="微软雅黑"/>
          <w:color w:val="auto"/>
          <w:sz w:val="21"/>
          <w:szCs w:val="21"/>
          <w:lang w:val="en-US" w:eastAsia="zh-CN"/>
        </w:rPr>
        <w:t>Fi5；</w:t>
      </w:r>
    </w:p>
    <w:p w14:paraId="26EA4CCF">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②射频接口：双频外置 4×N 母射频接口，可外接定向天线；</w:t>
      </w:r>
    </w:p>
    <w:p w14:paraId="1A738D40">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③有线接口：1×2.5GE RJ45、1×GE RJ45、1×10G SFP + 光口、Console 本地调试口；</w:t>
      </w:r>
    </w:p>
    <w:p w14:paraId="1825CE54">
      <w:pPr>
        <w:numPr>
          <w:ilvl w:val="0"/>
          <w:numId w:val="0"/>
        </w:numPr>
        <w:spacing w:line="240" w:lineRule="auto"/>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lang w:val="en-US" w:eastAsia="zh-CN"/>
        </w:rPr>
        <w:t>④环境适配：</w:t>
      </w:r>
      <w:r>
        <w:rPr>
          <w:rFonts w:hint="eastAsia" w:ascii="微软雅黑" w:hAnsi="微软雅黑" w:eastAsia="微软雅黑" w:cs="微软雅黑"/>
          <w:color w:val="auto"/>
          <w:sz w:val="21"/>
          <w:szCs w:val="21"/>
          <w:highlight w:val="none"/>
          <w:lang w:val="en-US" w:eastAsia="zh-CN"/>
        </w:rPr>
        <w:t>室外AP，宽温工业级-40ºC～65ºC工作温度，IP68防护等级，支持壁挂 / 抱杆两种安装方式，适配车间粉尘、昼夜温差大工况；</w:t>
      </w:r>
    </w:p>
    <w:p w14:paraId="660EE3EA">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⑤必须支持功能：802.11r 快速漫游；信道、发射功率固定手动配置；可彻底关闭智能天线、自动射频调优、动态负载均衡、自动信道切换全部自动优化功能。</w:t>
      </w:r>
    </w:p>
    <w:p w14:paraId="262F724D">
      <w:pPr>
        <w:numPr>
          <w:ilvl w:val="0"/>
          <w:numId w:val="0"/>
        </w:numPr>
        <w:spacing w:line="240" w:lineRule="auto"/>
        <w:ind w:left="0" w:leftChars="0" w:firstLine="0" w:firstLineChars="0"/>
        <w:outlineLvl w:val="1"/>
        <w:rPr>
          <w:rFonts w:hint="eastAsia" w:ascii="微软雅黑" w:hAnsi="微软雅黑" w:eastAsia="微软雅黑" w:cs="微软雅黑"/>
          <w:color w:val="auto"/>
          <w:sz w:val="21"/>
          <w:szCs w:val="21"/>
          <w:lang w:val="en-US" w:eastAsia="zh-CN"/>
        </w:rPr>
      </w:pPr>
      <w:bookmarkStart w:id="5" w:name="_Toc26476"/>
      <w:r>
        <w:rPr>
          <w:rFonts w:hint="eastAsia" w:ascii="微软雅黑" w:hAnsi="微软雅黑" w:eastAsia="微软雅黑" w:cs="微软雅黑"/>
          <w:color w:val="auto"/>
          <w:sz w:val="21"/>
          <w:szCs w:val="21"/>
          <w:lang w:val="en-US" w:eastAsia="zh-CN"/>
        </w:rPr>
        <w:t>2.4 配套双频定向 MIMO 天线</w:t>
      </w:r>
      <w:bookmarkEnd w:id="5"/>
    </w:p>
    <w:p w14:paraId="7811F604">
      <w:pPr>
        <w:numPr>
          <w:ilvl w:val="0"/>
          <w:numId w:val="0"/>
        </w:numPr>
        <w:spacing w:line="240" w:lineRule="auto"/>
        <w:rPr>
          <w:rStyle w:val="52"/>
          <w:rFonts w:hint="eastAsia"/>
          <w:color w:val="auto"/>
          <w:lang w:val="en-US" w:eastAsia="zh-CN"/>
          <w:woUserID w:val="0"/>
        </w:rPr>
      </w:pPr>
      <w:r>
        <w:rPr>
          <w:rFonts w:hint="eastAsia" w:ascii="微软雅黑" w:hAnsi="微软雅黑" w:eastAsia="微软雅黑" w:cs="微软雅黑"/>
          <w:color w:val="auto"/>
          <w:sz w:val="21"/>
          <w:szCs w:val="21"/>
          <w:lang w:val="en-US" w:eastAsia="zh-CN"/>
        </w:rPr>
        <w:t>①增益指标：2.4GHz 增益≥11.5dBi，5GHz 增益≥15dBi；</w:t>
      </w:r>
    </w:p>
    <w:p w14:paraId="490AF654">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②接口：N-Female×4，配套原厂室外安装支架；</w:t>
      </w:r>
    </w:p>
    <w:p w14:paraId="5CDAE6E6">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③防护：内置防雷设计，防水防尘，适配钢结构车间潮湿、多粉尘环境。</w:t>
      </w:r>
    </w:p>
    <w:p w14:paraId="3C6BC30B">
      <w:pPr>
        <w:numPr>
          <w:ilvl w:val="0"/>
          <w:numId w:val="0"/>
        </w:numPr>
        <w:spacing w:line="240" w:lineRule="auto"/>
        <w:ind w:left="0" w:leftChars="0" w:firstLine="0" w:firstLineChars="0"/>
        <w:outlineLvl w:val="1"/>
        <w:rPr>
          <w:rFonts w:hint="eastAsia" w:ascii="微软雅黑" w:hAnsi="微软雅黑" w:eastAsia="微软雅黑" w:cs="微软雅黑"/>
          <w:color w:val="auto"/>
          <w:sz w:val="21"/>
          <w:szCs w:val="21"/>
          <w:lang w:val="en-US" w:eastAsia="zh-CN"/>
        </w:rPr>
      </w:pPr>
      <w:bookmarkStart w:id="6" w:name="_Toc23936"/>
      <w:r>
        <w:rPr>
          <w:rFonts w:hint="eastAsia" w:ascii="微软雅黑" w:hAnsi="微软雅黑" w:eastAsia="微软雅黑" w:cs="微软雅黑"/>
          <w:color w:val="auto"/>
          <w:sz w:val="21"/>
          <w:szCs w:val="21"/>
          <w:lang w:val="en-US" w:eastAsia="zh-CN"/>
        </w:rPr>
        <w:t>2.5 射频馈线及接头配件</w:t>
      </w:r>
      <w:bookmarkEnd w:id="6"/>
    </w:p>
    <w:p w14:paraId="301E3E36">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①规格：50Ω 低损耗 RG8 射频线缆；</w:t>
      </w:r>
    </w:p>
    <w:p w14:paraId="62DC1B4A">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②配套全套室外多层防水密封组件、防水胶带。</w:t>
      </w:r>
    </w:p>
    <w:p w14:paraId="51E11406">
      <w:pPr>
        <w:numPr>
          <w:ilvl w:val="0"/>
          <w:numId w:val="0"/>
        </w:numPr>
        <w:spacing w:line="240" w:lineRule="auto"/>
        <w:ind w:left="0" w:leftChars="0" w:firstLine="0" w:firstLineChars="0"/>
        <w:outlineLvl w:val="1"/>
        <w:rPr>
          <w:rFonts w:hint="eastAsia" w:ascii="微软雅黑" w:hAnsi="微软雅黑" w:eastAsia="微软雅黑" w:cs="微软雅黑"/>
          <w:color w:val="auto"/>
          <w:sz w:val="21"/>
          <w:szCs w:val="21"/>
          <w:lang w:val="en-US" w:eastAsia="zh-CN"/>
        </w:rPr>
      </w:pPr>
      <w:bookmarkStart w:id="7" w:name="_Toc21916"/>
      <w:r>
        <w:rPr>
          <w:rFonts w:hint="eastAsia" w:ascii="微软雅黑" w:hAnsi="微软雅黑" w:eastAsia="微软雅黑" w:cs="微软雅黑"/>
          <w:color w:val="auto"/>
          <w:sz w:val="21"/>
          <w:szCs w:val="21"/>
          <w:lang w:val="en-US" w:eastAsia="zh-CN"/>
        </w:rPr>
        <w:t>2.6 配套安装辅材</w:t>
      </w:r>
      <w:bookmarkEnd w:id="7"/>
    </w:p>
    <w:p w14:paraId="64958479">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原厂标准化安装支架、接地铜鼻子、防腐扎带、固定膨胀螺栓、防水绝缘辅料、等电位连接配件全套物料。</w:t>
      </w:r>
    </w:p>
    <w:p w14:paraId="6AA4BB44">
      <w:pPr>
        <w:numPr>
          <w:ilvl w:val="0"/>
          <w:numId w:val="0"/>
        </w:numPr>
        <w:spacing w:line="240" w:lineRule="auto"/>
        <w:ind w:left="0" w:leftChars="0" w:firstLine="0" w:firstLineChars="0"/>
        <w:outlineLvl w:val="1"/>
        <w:rPr>
          <w:rFonts w:hint="eastAsia" w:ascii="微软雅黑" w:hAnsi="微软雅黑" w:eastAsia="微软雅黑" w:cs="微软雅黑"/>
          <w:color w:val="auto"/>
          <w:sz w:val="21"/>
          <w:szCs w:val="21"/>
          <w:lang w:val="en-US" w:eastAsia="zh-CN"/>
        </w:rPr>
      </w:pPr>
      <w:bookmarkStart w:id="8" w:name="_Toc7918"/>
      <w:r>
        <w:rPr>
          <w:rFonts w:hint="eastAsia" w:ascii="微软雅黑" w:hAnsi="微软雅黑" w:eastAsia="微软雅黑" w:cs="微软雅黑"/>
          <w:color w:val="auto"/>
          <w:sz w:val="21"/>
          <w:szCs w:val="21"/>
          <w:lang w:val="en-US" w:eastAsia="zh-CN"/>
        </w:rPr>
        <w:t>2.7 网络业务规划硬性规则</w:t>
      </w:r>
      <w:bookmarkEnd w:id="8"/>
    </w:p>
    <w:p w14:paraId="3D881F61">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①业务隔离：独立规划 AGV 小车专属无线业务，AGV 无线网段与厂区办公有线网络物理 / 逻辑双重隔离，禁止共用同一 IP 网段、禁止三层互通；</w:t>
      </w:r>
    </w:p>
    <w:p w14:paraId="73DFDDAD">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②SSID 划分：新建独立专用 SSID 专供 AGV 小车；2.4GHz 频段单独划分给老旧扫码终端，AGV 小车禁止接入 2.4G 频段，仅允许使用 5GHz 射频；</w:t>
      </w:r>
    </w:p>
    <w:p w14:paraId="65332368">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③射频强制约束：所有 AP 关闭自动信道、自动功率、智能波束、无线负载均衡；信道、发射功率全部人工固定配置；</w:t>
      </w:r>
    </w:p>
    <w:p w14:paraId="244DEF38">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④5G 射频带宽：AGV 业务 5GHz 射频带宽强制固定 20MHz，禁止 40MHz/80MHz 频宽；</w:t>
      </w:r>
    </w:p>
    <w:p w14:paraId="797298B0">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⑤AGV 地址管理：采用固定 IP 或 DHCP+MAC 静态绑定，保证每台 AGV 上电后 IP 永久不变，无地址漂移。</w:t>
      </w:r>
    </w:p>
    <w:p w14:paraId="1475B875">
      <w:pPr>
        <w:numPr>
          <w:ilvl w:val="0"/>
          <w:numId w:val="0"/>
        </w:numPr>
        <w:spacing w:line="240" w:lineRule="auto"/>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2.8办公室AP要求</w:t>
      </w:r>
    </w:p>
    <w:p w14:paraId="0595C760">
      <w:pPr>
        <w:numPr>
          <w:ilvl w:val="0"/>
          <w:numId w:val="0"/>
        </w:numPr>
        <w:spacing w:line="240" w:lineRule="auto"/>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①企业级工业无线AP 33台， 4光24口电千兆PoE+自适应以太网端口交换机 2台，4光24口电千兆交换机4台，AC控制器和厂房共同使用同一个</w:t>
      </w:r>
    </w:p>
    <w:p w14:paraId="5835369D">
      <w:pPr>
        <w:numPr>
          <w:ilvl w:val="0"/>
          <w:numId w:val="0"/>
        </w:numPr>
        <w:spacing w:line="240" w:lineRule="auto"/>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②AP要求：室内独立放装型部署，WIFI 6，双射频5GHz和2.4GHz 802.11ax 2x2 MIMO，5GHz速率1.2Gbps，2.4GHz速率574Mbps</w:t>
      </w:r>
    </w:p>
    <w:p w14:paraId="371D78E1">
      <w:pPr>
        <w:numPr>
          <w:ilvl w:val="0"/>
          <w:numId w:val="0"/>
        </w:numPr>
        <w:spacing w:line="240" w:lineRule="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③办公室AP安装为全向设备，面积直径最低20-30m，信号强度≥-55 dBm</w:t>
      </w:r>
    </w:p>
    <w:p w14:paraId="23538E81">
      <w:pPr>
        <w:pStyle w:val="2"/>
        <w:numPr>
          <w:ilvl w:val="0"/>
          <w:numId w:val="0"/>
        </w:numPr>
        <w:bidi w:val="0"/>
        <w:rPr>
          <w:rFonts w:hint="eastAsia" w:ascii="微软雅黑" w:hAnsi="微软雅黑" w:eastAsia="微软雅黑" w:cs="微软雅黑"/>
          <w:color w:val="auto"/>
          <w:sz w:val="21"/>
          <w:szCs w:val="21"/>
          <w:highlight w:val="none"/>
          <w:lang w:eastAsia="zh-CN"/>
        </w:rPr>
      </w:pPr>
      <w:bookmarkStart w:id="9" w:name="_Toc11253"/>
      <w:r>
        <w:rPr>
          <w:rFonts w:hint="eastAsia" w:ascii="微软雅黑" w:hAnsi="微软雅黑" w:eastAsia="微软雅黑" w:cs="微软雅黑"/>
          <w:color w:val="auto"/>
          <w:sz w:val="21"/>
          <w:szCs w:val="21"/>
          <w:highlight w:val="none"/>
        </w:rPr>
        <w:t>三、设备的</w:t>
      </w:r>
      <w:r>
        <w:rPr>
          <w:rFonts w:hint="eastAsia" w:ascii="微软雅黑" w:hAnsi="微软雅黑" w:eastAsia="微软雅黑" w:cs="微软雅黑"/>
          <w:color w:val="auto"/>
          <w:sz w:val="21"/>
          <w:szCs w:val="21"/>
          <w:highlight w:val="none"/>
          <w:lang w:val="en-US" w:eastAsia="zh-CN"/>
        </w:rPr>
        <w:t>部署</w:t>
      </w:r>
      <w:r>
        <w:rPr>
          <w:rFonts w:hint="eastAsia" w:ascii="微软雅黑" w:hAnsi="微软雅黑" w:eastAsia="微软雅黑" w:cs="微软雅黑"/>
          <w:color w:val="auto"/>
          <w:sz w:val="21"/>
          <w:szCs w:val="21"/>
          <w:highlight w:val="none"/>
        </w:rPr>
        <w:t>要求</w:t>
      </w:r>
      <w:r>
        <w:rPr>
          <w:rFonts w:hint="eastAsia" w:ascii="微软雅黑" w:hAnsi="微软雅黑" w:eastAsia="微软雅黑" w:cs="微软雅黑"/>
          <w:color w:val="auto"/>
          <w:sz w:val="21"/>
          <w:szCs w:val="21"/>
          <w:highlight w:val="none"/>
          <w:lang w:eastAsia="zh-CN"/>
        </w:rPr>
        <w:t>：</w:t>
      </w:r>
      <w:bookmarkEnd w:id="9"/>
    </w:p>
    <w:p w14:paraId="7FE088FF">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1、AP部署间距：定向天线AP沿AGV主干道布置；无大量钢结构遮挡区域间距35～40米；立柱、货架遮挡严重区域缩小至30～35米。</w:t>
      </w:r>
    </w:p>
    <w:p w14:paraId="1471C13E">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2、相邻AP覆盖区域预留15%~20%重叠区间，作为漫游切换缓冲带。</w:t>
      </w:r>
    </w:p>
    <w:p w14:paraId="30A50D64">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3、容量管控：单台AP同时在线AGV数量≤20台；小车密集区域乙方需主动提出加密点位优化方案。</w:t>
      </w:r>
    </w:p>
    <w:p w14:paraId="759F7022">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4、信号强度标准（验收依据：AGV车载WiFi模块实测数据，手机、笔记本测试数据仅作参考，不作为判定依据）</w:t>
      </w:r>
    </w:p>
    <w:p w14:paraId="4B9C7B3B">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5、AGV主干道、出入库区、排队区域：信号强度＞-55dBm；</w:t>
      </w:r>
    </w:p>
    <w:p w14:paraId="69CF6C8E">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6、次要通道、车间边缘区域：信号强度≥-68dBm（最低红线，低于该值判定不合格）；</w:t>
      </w:r>
    </w:p>
    <w:p w14:paraId="572649BA">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7、漫游性能硬性指标</w:t>
      </w:r>
    </w:p>
    <w:p w14:paraId="4AE9CBCC">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8、AGV正常行驶跨AP漫游切换时延≤100ms；单次漫游过程丢包数量＜2个数据包；小车连续行驶无频繁乒乓漫游、无掉线停机。</w:t>
      </w:r>
    </w:p>
    <w:p w14:paraId="0446B539">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9、AP、天线安装牢固，定向天线角度严格按照勘测方案对准AGV通行车道，严禁正对大面积钢板墙面直射，避免信号反射干扰。</w:t>
      </w:r>
    </w:p>
    <w:p w14:paraId="10AD4224">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10、射频馈线最小弯曲半径≥线缆直径10倍，禁挤压、硬折线缆；所有潮湿位置射频接头多层防水密封。</w:t>
      </w:r>
    </w:p>
    <w:p w14:paraId="196DC63B">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11、全部无线设备规范接地，接地电阻＜4Ω，防静电、感应雷击。</w:t>
      </w:r>
    </w:p>
    <w:p w14:paraId="21E7634B">
      <w:pPr>
        <w:numPr>
          <w:ilvl w:val="0"/>
          <w:numId w:val="0"/>
        </w:numPr>
        <w:spacing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12、线缆敷设避开变频器、大功率电机等强电磁干扰源。</w:t>
      </w:r>
    </w:p>
    <w:p w14:paraId="4769E5CD">
      <w:pPr>
        <w:pStyle w:val="2"/>
        <w:numPr>
          <w:ilvl w:val="0"/>
          <w:numId w:val="0"/>
        </w:numPr>
        <w:bidi w:val="0"/>
        <w:rPr>
          <w:rFonts w:hint="eastAsia" w:ascii="微软雅黑" w:hAnsi="微软雅黑" w:eastAsia="微软雅黑" w:cs="微软雅黑"/>
          <w:color w:val="auto"/>
          <w:sz w:val="21"/>
          <w:szCs w:val="21"/>
        </w:rPr>
      </w:pPr>
      <w:bookmarkStart w:id="10" w:name="_Toc4124"/>
      <w:r>
        <w:rPr>
          <w:rFonts w:hint="eastAsia" w:ascii="微软雅黑" w:hAnsi="微软雅黑" w:eastAsia="微软雅黑" w:cs="微软雅黑"/>
          <w:color w:val="auto"/>
          <w:sz w:val="21"/>
          <w:szCs w:val="21"/>
          <w:lang w:val="en-US" w:eastAsia="zh-CN"/>
        </w:rPr>
        <w:t>四、</w:t>
      </w:r>
      <w:r>
        <w:rPr>
          <w:rFonts w:hint="eastAsia" w:ascii="微软雅黑" w:hAnsi="微软雅黑" w:eastAsia="微软雅黑" w:cs="微软雅黑"/>
          <w:color w:val="auto"/>
          <w:sz w:val="21"/>
          <w:szCs w:val="21"/>
        </w:rPr>
        <w:t xml:space="preserve"> </w:t>
      </w:r>
      <w:r>
        <w:rPr>
          <w:rFonts w:hint="eastAsia" w:ascii="微软雅黑" w:hAnsi="微软雅黑" w:eastAsia="微软雅黑" w:cs="微软雅黑"/>
          <w:color w:val="auto"/>
          <w:sz w:val="21"/>
          <w:szCs w:val="21"/>
          <w:lang w:val="en-US" w:eastAsia="zh-CN"/>
        </w:rPr>
        <w:t>厂房</w:t>
      </w:r>
      <w:r>
        <w:rPr>
          <w:rFonts w:hint="eastAsia" w:ascii="微软雅黑" w:hAnsi="微软雅黑" w:eastAsia="微软雅黑" w:cs="微软雅黑"/>
          <w:color w:val="auto"/>
          <w:sz w:val="21"/>
          <w:szCs w:val="21"/>
        </w:rPr>
        <w:t>平面布局图：</w:t>
      </w:r>
      <w:bookmarkEnd w:id="10"/>
    </w:p>
    <w:p w14:paraId="07C8F707">
      <w:pPr>
        <w:spacing w:line="240" w:lineRule="atLeas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drawing>
          <wp:inline distT="0" distB="0" distL="114300" distR="114300">
            <wp:extent cx="6113145" cy="3856355"/>
            <wp:effectExtent l="0" t="0" r="1905" b="1079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6"/>
                    <a:stretch>
                      <a:fillRect/>
                    </a:stretch>
                  </pic:blipFill>
                  <pic:spPr>
                    <a:xfrm>
                      <a:off x="0" y="0"/>
                      <a:ext cx="6113145" cy="3856355"/>
                    </a:xfrm>
                    <a:prstGeom prst="rect">
                      <a:avLst/>
                    </a:prstGeom>
                    <a:noFill/>
                    <a:ln>
                      <a:noFill/>
                    </a:ln>
                  </pic:spPr>
                </pic:pic>
              </a:graphicData>
            </a:graphic>
          </wp:inline>
        </w:drawing>
      </w:r>
    </w:p>
    <w:p w14:paraId="62627300">
      <w:pPr>
        <w:spacing w:line="240" w:lineRule="atLeast"/>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办公室布局图</w:t>
      </w:r>
    </w:p>
    <w:p w14:paraId="5532C2AE">
      <w:pPr>
        <w:spacing w:line="240" w:lineRule="atLeast"/>
        <w:rPr>
          <w:rFonts w:hint="eastAsia" w:ascii="微软雅黑" w:hAnsi="微软雅黑" w:eastAsia="微软雅黑" w:cs="微软雅黑"/>
          <w:color w:val="auto"/>
          <w:sz w:val="21"/>
          <w:szCs w:val="21"/>
        </w:rPr>
      </w:pPr>
      <w:r>
        <w:drawing>
          <wp:inline distT="0" distB="0" distL="114300" distR="114300">
            <wp:extent cx="6111240" cy="3110865"/>
            <wp:effectExtent l="0" t="0" r="3810" b="133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6111240" cy="3110865"/>
                    </a:xfrm>
                    <a:prstGeom prst="rect">
                      <a:avLst/>
                    </a:prstGeom>
                    <a:noFill/>
                    <a:ln>
                      <a:noFill/>
                    </a:ln>
                  </pic:spPr>
                </pic:pic>
              </a:graphicData>
            </a:graphic>
          </wp:inline>
        </w:drawing>
      </w:r>
    </w:p>
    <w:p w14:paraId="7F66B3EB">
      <w:pPr>
        <w:pStyle w:val="2"/>
        <w:numPr>
          <w:ilvl w:val="0"/>
          <w:numId w:val="0"/>
        </w:numPr>
        <w:bidi w:val="0"/>
        <w:rPr>
          <w:rStyle w:val="28"/>
          <w:rFonts w:hint="eastAsia" w:ascii="微软雅黑" w:hAnsi="微软雅黑" w:eastAsia="微软雅黑" w:cs="微软雅黑"/>
          <w:color w:val="auto"/>
          <w:sz w:val="21"/>
          <w:szCs w:val="21"/>
          <w:lang w:val="en-US" w:eastAsia="zh-CN"/>
        </w:rPr>
      </w:pPr>
      <w:bookmarkStart w:id="11" w:name="_Toc12128"/>
      <w:r>
        <w:drawing>
          <wp:inline distT="0" distB="0" distL="114300" distR="114300">
            <wp:extent cx="6113145" cy="3426460"/>
            <wp:effectExtent l="0" t="0" r="1905" b="254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8"/>
                    <a:stretch>
                      <a:fillRect/>
                    </a:stretch>
                  </pic:blipFill>
                  <pic:spPr>
                    <a:xfrm>
                      <a:off x="0" y="0"/>
                      <a:ext cx="6113145" cy="3426460"/>
                    </a:xfrm>
                    <a:prstGeom prst="rect">
                      <a:avLst/>
                    </a:prstGeom>
                    <a:noFill/>
                    <a:ln>
                      <a:noFill/>
                    </a:ln>
                  </pic:spPr>
                </pic:pic>
              </a:graphicData>
            </a:graphic>
          </wp:inline>
        </w:drawing>
      </w:r>
    </w:p>
    <w:p w14:paraId="0B24A8ED">
      <w:pPr>
        <w:pStyle w:val="2"/>
        <w:numPr>
          <w:ilvl w:val="0"/>
          <w:numId w:val="0"/>
        </w:numPr>
        <w:bidi w:val="0"/>
        <w:rPr>
          <w:rFonts w:hint="eastAsia" w:ascii="微软雅黑" w:hAnsi="微软雅黑" w:eastAsia="微软雅黑" w:cs="微软雅黑"/>
          <w:b/>
          <w:color w:val="auto"/>
          <w:sz w:val="21"/>
          <w:szCs w:val="21"/>
          <w:lang w:val="en-US" w:eastAsia="zh-CN"/>
        </w:rPr>
      </w:pPr>
      <w:r>
        <w:rPr>
          <w:rStyle w:val="28"/>
          <w:rFonts w:hint="eastAsia" w:ascii="微软雅黑" w:hAnsi="微软雅黑" w:eastAsia="微软雅黑" w:cs="微软雅黑"/>
          <w:color w:val="auto"/>
          <w:sz w:val="21"/>
          <w:szCs w:val="21"/>
          <w:lang w:val="en-US" w:eastAsia="zh-CN"/>
        </w:rPr>
        <w:t>五、施工流程要求</w:t>
      </w:r>
      <w:r>
        <w:rPr>
          <w:rFonts w:hint="eastAsia" w:ascii="微软雅黑" w:hAnsi="微软雅黑" w:eastAsia="微软雅黑" w:cs="微软雅黑"/>
          <w:b/>
          <w:color w:val="auto"/>
          <w:sz w:val="21"/>
          <w:szCs w:val="21"/>
          <w:lang w:val="en-US" w:eastAsia="zh-CN"/>
        </w:rPr>
        <w:t>：</w:t>
      </w:r>
      <w:bookmarkEnd w:id="11"/>
    </w:p>
    <w:p w14:paraId="3F21187F">
      <w:pPr>
        <w:numPr>
          <w:ilvl w:val="0"/>
          <w:numId w:val="0"/>
        </w:numPr>
        <w:spacing w:line="240" w:lineRule="atLeast"/>
        <w:ind w:firstLine="420" w:firstLineChars="200"/>
        <w:rPr>
          <w:rFonts w:hint="eastAsia" w:ascii="微软雅黑" w:hAnsi="微软雅黑" w:eastAsia="微软雅黑" w:cs="微软雅黑"/>
          <w:b/>
          <w:color w:val="auto"/>
          <w:sz w:val="21"/>
          <w:szCs w:val="21"/>
        </w:rPr>
      </w:pPr>
      <w:r>
        <w:rPr>
          <w:rFonts w:hint="eastAsia" w:ascii="微软雅黑" w:hAnsi="微软雅黑" w:eastAsia="微软雅黑" w:cs="微软雅黑"/>
          <w:color w:val="auto"/>
          <w:sz w:val="21"/>
          <w:szCs w:val="21"/>
        </w:rPr>
        <w:t>乙方完整实施工作：点位勘测→方案规划→硬件安装→线缆施工→系统配置→射频优化→全线AGV跑车测试→持续整改直至指标全部达标。</w:t>
      </w:r>
    </w:p>
    <w:p w14:paraId="7A45AF26">
      <w:pPr>
        <w:spacing w:line="240" w:lineRule="atLeast"/>
        <w:rPr>
          <w:rFonts w:hint="eastAsia" w:ascii="微软雅黑" w:hAnsi="微软雅黑" w:eastAsia="微软雅黑" w:cs="微软雅黑"/>
          <w:b/>
          <w:color w:val="auto"/>
          <w:sz w:val="21"/>
          <w:szCs w:val="21"/>
        </w:rPr>
      </w:pPr>
    </w:p>
    <w:p w14:paraId="64A07108">
      <w:pPr>
        <w:pStyle w:val="2"/>
        <w:numPr>
          <w:ilvl w:val="0"/>
          <w:numId w:val="0"/>
        </w:numPr>
        <w:bidi w:val="0"/>
        <w:rPr>
          <w:rFonts w:hint="eastAsia" w:ascii="微软雅黑" w:hAnsi="微软雅黑" w:eastAsia="微软雅黑" w:cs="微软雅黑"/>
          <w:color w:val="auto"/>
          <w:sz w:val="21"/>
          <w:szCs w:val="21"/>
          <w:lang w:val="en-US" w:eastAsia="zh-CN"/>
        </w:rPr>
      </w:pPr>
      <w:bookmarkStart w:id="12" w:name="_Toc26134"/>
      <w:r>
        <w:rPr>
          <w:rFonts w:hint="eastAsia" w:ascii="微软雅黑" w:hAnsi="微软雅黑" w:eastAsia="微软雅黑" w:cs="微软雅黑"/>
          <w:color w:val="auto"/>
          <w:sz w:val="21"/>
          <w:szCs w:val="21"/>
          <w:lang w:val="en-US" w:eastAsia="zh-CN"/>
        </w:rPr>
        <w:t>六、安全要求（重要）：</w:t>
      </w:r>
      <w:bookmarkEnd w:id="12"/>
    </w:p>
    <w:p w14:paraId="4B357FCE">
      <w:pPr>
        <w:ind w:firstLine="420" w:firstLineChars="200"/>
        <w:jc w:val="left"/>
        <w:outlineLvl w:val="1"/>
        <w:rPr>
          <w:rFonts w:hint="eastAsia" w:ascii="微软雅黑" w:hAnsi="微软雅黑" w:eastAsia="微软雅黑" w:cs="微软雅黑"/>
          <w:color w:val="auto"/>
          <w:sz w:val="21"/>
          <w:szCs w:val="21"/>
        </w:rPr>
      </w:pPr>
      <w:bookmarkStart w:id="13" w:name="_Toc23904"/>
      <w:r>
        <w:rPr>
          <w:rFonts w:hint="eastAsia" w:ascii="微软雅黑" w:hAnsi="微软雅黑" w:eastAsia="微软雅黑" w:cs="微软雅黑"/>
          <w:color w:val="auto"/>
          <w:sz w:val="21"/>
          <w:szCs w:val="21"/>
        </w:rPr>
        <w:t>6.1 设备总体安全要求</w:t>
      </w:r>
      <w:bookmarkEnd w:id="13"/>
    </w:p>
    <w:p w14:paraId="7C3D59BF">
      <w:pPr>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乙方提供全部无线硬件、辅材必须为全新原厂未使用产品，无质量、产权瑕疵；符合国家电气、电磁兼容、IP 防护相关标准，满足车间粉尘、温差工业环境安全要求；因设备设计、制造、安装调试不当引发甲方现场安全事故（人为破坏除外），全部责任由乙方承担。</w:t>
      </w:r>
    </w:p>
    <w:p w14:paraId="7D66744F">
      <w:pPr>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禁止乙方雇佣甲方内部员工提供有偿施工、调试服务，一经查实按廉政违约条款处理；合同范围外工作内容，必须签订书面补充协议后方可实施。</w:t>
      </w:r>
    </w:p>
    <w:p w14:paraId="7CE73740">
      <w:pPr>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乙方所有进场施工人员发生人身伤害、安全事故，全部责任、赔偿由乙方承担。</w:t>
      </w:r>
    </w:p>
    <w:p w14:paraId="3BD08DB2">
      <w:pPr>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设备结构、元器件具备足够强度、稳定性，无尖锐棱角，防护等级不低于 IP54；设备符合 RoHS 环保标准，投标方可按需提供检测证明。</w:t>
      </w:r>
    </w:p>
    <w:p w14:paraId="3E7EA582">
      <w:pPr>
        <w:ind w:firstLine="420" w:firstLineChars="200"/>
        <w:jc w:val="left"/>
        <w:outlineLvl w:val="1"/>
        <w:rPr>
          <w:rFonts w:hint="eastAsia" w:ascii="微软雅黑" w:hAnsi="微软雅黑" w:eastAsia="微软雅黑" w:cs="微软雅黑"/>
          <w:color w:val="auto"/>
          <w:sz w:val="21"/>
          <w:szCs w:val="21"/>
        </w:rPr>
      </w:pPr>
      <w:bookmarkStart w:id="14" w:name="_Toc23152"/>
      <w:r>
        <w:rPr>
          <w:rFonts w:hint="eastAsia" w:ascii="微软雅黑" w:hAnsi="微软雅黑" w:eastAsia="微软雅黑" w:cs="微软雅黑"/>
          <w:color w:val="auto"/>
          <w:sz w:val="21"/>
          <w:szCs w:val="21"/>
        </w:rPr>
        <w:t>6.2 电气专项安全要求</w:t>
      </w:r>
      <w:bookmarkEnd w:id="14"/>
    </w:p>
    <w:p w14:paraId="0E81124D">
      <w:pPr>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控制柜、AP、交换机外壳可靠保护接零，线路具备过载、短路、漏电保护；线路碰壳故障 0.1s 内切断供电；</w:t>
      </w:r>
    </w:p>
    <w:p w14:paraId="6141F042">
      <w:pPr>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控制线路、POE 供电线路绝缘电阻≥1MΩ，所有外露金属部件统一接地；</w:t>
      </w:r>
    </w:p>
    <w:p w14:paraId="235871D2">
      <w:pPr>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电控箱、室外 AP 防护等级≥IP54；潮湿区域设备配套独立漏电保护器；</w:t>
      </w:r>
    </w:p>
    <w:p w14:paraId="027ADBB2">
      <w:pPr>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施工临时用电全部使用工业防水插座，线缆架空或穿金属管敷设，禁止地面明线拖拽。</w:t>
      </w:r>
    </w:p>
    <w:p w14:paraId="411AA84E">
      <w:pPr>
        <w:ind w:firstLine="420" w:firstLineChars="200"/>
        <w:jc w:val="left"/>
        <w:outlineLvl w:val="1"/>
        <w:rPr>
          <w:rFonts w:hint="eastAsia" w:ascii="微软雅黑" w:hAnsi="微软雅黑" w:eastAsia="微软雅黑" w:cs="微软雅黑"/>
          <w:color w:val="auto"/>
          <w:sz w:val="21"/>
          <w:szCs w:val="21"/>
        </w:rPr>
      </w:pPr>
      <w:bookmarkStart w:id="15" w:name="_Toc23272"/>
      <w:r>
        <w:rPr>
          <w:rFonts w:hint="eastAsia" w:ascii="微软雅黑" w:hAnsi="微软雅黑" w:eastAsia="微软雅黑" w:cs="微软雅黑"/>
          <w:color w:val="auto"/>
          <w:sz w:val="21"/>
          <w:szCs w:val="21"/>
        </w:rPr>
        <w:t>6.3 高处作业安全专项要求</w:t>
      </w:r>
      <w:bookmarkEnd w:id="15"/>
    </w:p>
    <w:p w14:paraId="69AF1FD5">
      <w:pPr>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登高作业人员必须持有效登高作业证件，无高血压、心脏病等禁忌症，严禁酒后、疲劳登高；</w:t>
      </w:r>
    </w:p>
    <w:p w14:paraId="4DEC2321">
      <w:pPr>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作业全程佩戴安全帽、安全带，执行高挂低用；钢结构屋顶、立柱登高配套安全生命线、速差防坠器，可承载 130kg 人员坠落防护；</w:t>
      </w:r>
    </w:p>
    <w:p w14:paraId="5951C85E">
      <w:pPr>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6 级及以上大风、雨雪、大雾天气禁止室外高处安装施工；</w:t>
      </w:r>
    </w:p>
    <w:p w14:paraId="766DFE6B">
      <w:pPr>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单梯仅 1 人作业，人字梯夹角 40°，底部防滑处理；洞口、临边作业搭设防护网、护栏。</w:t>
      </w:r>
    </w:p>
    <w:p w14:paraId="3BA7CEEB">
      <w:pPr>
        <w:ind w:firstLine="420" w:firstLineChars="200"/>
        <w:jc w:val="left"/>
        <w:outlineLvl w:val="1"/>
        <w:rPr>
          <w:rFonts w:hint="eastAsia" w:ascii="微软雅黑" w:hAnsi="微软雅黑" w:eastAsia="微软雅黑" w:cs="微软雅黑"/>
          <w:color w:val="auto"/>
          <w:sz w:val="21"/>
          <w:szCs w:val="21"/>
        </w:rPr>
      </w:pPr>
      <w:bookmarkStart w:id="16" w:name="_Toc20793"/>
      <w:r>
        <w:rPr>
          <w:rFonts w:hint="eastAsia" w:ascii="微软雅黑" w:hAnsi="微软雅黑" w:eastAsia="微软雅黑" w:cs="微软雅黑"/>
          <w:color w:val="auto"/>
          <w:sz w:val="21"/>
          <w:szCs w:val="21"/>
        </w:rPr>
        <w:t>6.4 防火、材料安全要求</w:t>
      </w:r>
      <w:bookmarkEnd w:id="16"/>
    </w:p>
    <w:p w14:paraId="051CC9FE">
      <w:pPr>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施工布线、安装辅材全部采用 A 级不燃材料，禁止易燃、高温释放有毒烟气的线缆、密封材料；施工现场配备灭火器，禁止动火作业无防护措施。</w:t>
      </w:r>
    </w:p>
    <w:p w14:paraId="655A9E25">
      <w:pPr>
        <w:ind w:firstLine="420" w:firstLineChars="200"/>
        <w:jc w:val="left"/>
        <w:outlineLvl w:val="1"/>
        <w:rPr>
          <w:rFonts w:hint="eastAsia" w:ascii="微软雅黑" w:hAnsi="微软雅黑" w:eastAsia="微软雅黑" w:cs="微软雅黑"/>
          <w:color w:val="auto"/>
          <w:sz w:val="21"/>
          <w:szCs w:val="21"/>
        </w:rPr>
      </w:pPr>
      <w:bookmarkStart w:id="17" w:name="_Toc11021"/>
      <w:r>
        <w:rPr>
          <w:rFonts w:hint="eastAsia" w:ascii="微软雅黑" w:hAnsi="微软雅黑" w:eastAsia="微软雅黑" w:cs="微软雅黑"/>
          <w:color w:val="auto"/>
          <w:sz w:val="21"/>
          <w:szCs w:val="21"/>
        </w:rPr>
        <w:t>6.5 施工人员保险强制要求</w:t>
      </w:r>
      <w:bookmarkEnd w:id="17"/>
    </w:p>
    <w:p w14:paraId="6EA1700D">
      <w:pPr>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乙方必须为全部进场人员缴纳不低于 100 万保额意外伤害险，项目整体投保安装工程一切险（保额不低于合同总价），附加第三者责任险单次单人赔付≥100 万元；进场前提供保险缴纳证明，无保险禁止入场施工。</w:t>
      </w:r>
    </w:p>
    <w:p w14:paraId="72EDBF5B">
      <w:pPr>
        <w:tabs>
          <w:tab w:val="left" w:pos="0"/>
        </w:tabs>
        <w:spacing w:line="240" w:lineRule="atLeast"/>
        <w:outlineLvl w:val="0"/>
        <w:rPr>
          <w:rFonts w:hint="eastAsia" w:ascii="微软雅黑" w:hAnsi="微软雅黑" w:eastAsia="微软雅黑" w:cs="微软雅黑"/>
          <w:b/>
          <w:color w:val="auto"/>
          <w:sz w:val="21"/>
          <w:szCs w:val="21"/>
        </w:rPr>
      </w:pPr>
      <w:bookmarkStart w:id="18" w:name="_Toc15211"/>
      <w:r>
        <w:rPr>
          <w:rFonts w:hint="eastAsia" w:ascii="微软雅黑" w:hAnsi="微软雅黑" w:eastAsia="微软雅黑" w:cs="微软雅黑"/>
          <w:b/>
          <w:color w:val="auto"/>
          <w:sz w:val="21"/>
          <w:szCs w:val="21"/>
          <w:lang w:val="en-US" w:eastAsia="zh-CN"/>
        </w:rPr>
        <w:t>七</w:t>
      </w:r>
      <w:r>
        <w:rPr>
          <w:rFonts w:hint="eastAsia" w:ascii="微软雅黑" w:hAnsi="微软雅黑" w:eastAsia="微软雅黑" w:cs="微软雅黑"/>
          <w:b/>
          <w:color w:val="auto"/>
          <w:sz w:val="21"/>
          <w:szCs w:val="21"/>
        </w:rPr>
        <w:t>、</w:t>
      </w:r>
      <w:r>
        <w:rPr>
          <w:rStyle w:val="28"/>
          <w:rFonts w:hint="eastAsia" w:ascii="微软雅黑" w:hAnsi="微软雅黑" w:eastAsia="微软雅黑" w:cs="微软雅黑"/>
          <w:color w:val="auto"/>
          <w:sz w:val="21"/>
          <w:szCs w:val="21"/>
        </w:rPr>
        <w:t>设备上的计量仪器仪表要求：</w:t>
      </w:r>
      <w:bookmarkEnd w:id="18"/>
    </w:p>
    <w:tbl>
      <w:tblPr>
        <w:tblStyle w:val="20"/>
        <w:tblW w:w="1049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8688"/>
        <w:gridCol w:w="1093"/>
      </w:tblGrid>
      <w:tr w14:paraId="4BA57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top"/>
          </w:tcPr>
          <w:p w14:paraId="5DE8EE97">
            <w:pPr>
              <w:spacing w:line="240" w:lineRule="atLeast"/>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序号</w:t>
            </w:r>
          </w:p>
        </w:tc>
        <w:tc>
          <w:tcPr>
            <w:tcW w:w="8688" w:type="dxa"/>
            <w:noWrap w:val="0"/>
            <w:vAlign w:val="top"/>
          </w:tcPr>
          <w:p w14:paraId="156DA301">
            <w:pPr>
              <w:spacing w:line="240" w:lineRule="atLeast"/>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详细要求</w:t>
            </w:r>
          </w:p>
        </w:tc>
        <w:tc>
          <w:tcPr>
            <w:tcW w:w="1093" w:type="dxa"/>
            <w:noWrap w:val="0"/>
            <w:vAlign w:val="top"/>
          </w:tcPr>
          <w:p w14:paraId="3B1245B7">
            <w:pPr>
              <w:spacing w:line="240" w:lineRule="atLeast"/>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性质：重要</w:t>
            </w:r>
          </w:p>
        </w:tc>
      </w:tr>
      <w:tr w14:paraId="7424D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14:paraId="51F7F87A">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w:t>
            </w:r>
          </w:p>
        </w:tc>
        <w:tc>
          <w:tcPr>
            <w:tcW w:w="8688" w:type="dxa"/>
            <w:noWrap w:val="0"/>
            <w:vAlign w:val="top"/>
          </w:tcPr>
          <w:p w14:paraId="3CD7FED0">
            <w:pPr>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视线和触摸屏操作面略微倾斜，方便操作。</w:t>
            </w:r>
          </w:p>
        </w:tc>
        <w:tc>
          <w:tcPr>
            <w:tcW w:w="1093" w:type="dxa"/>
            <w:noWrap w:val="0"/>
            <w:vAlign w:val="top"/>
          </w:tcPr>
          <w:p w14:paraId="653F487E">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w:t>
            </w:r>
          </w:p>
        </w:tc>
      </w:tr>
      <w:tr w14:paraId="7C35E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14:paraId="63FEC796">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w:t>
            </w:r>
          </w:p>
        </w:tc>
        <w:tc>
          <w:tcPr>
            <w:tcW w:w="8688" w:type="dxa"/>
            <w:noWrap w:val="0"/>
            <w:vAlign w:val="top"/>
          </w:tcPr>
          <w:p w14:paraId="5D399267">
            <w:pPr>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照明不能在仪表盘的玻璃上形成反射，应该把光源安装在使仪表容易看清的位置</w:t>
            </w:r>
          </w:p>
        </w:tc>
        <w:tc>
          <w:tcPr>
            <w:tcW w:w="1093" w:type="dxa"/>
            <w:noWrap w:val="0"/>
            <w:vAlign w:val="center"/>
          </w:tcPr>
          <w:p w14:paraId="6E5AD890">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w:t>
            </w:r>
          </w:p>
        </w:tc>
      </w:tr>
      <w:tr w14:paraId="3E76A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14:paraId="301591FB">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w:t>
            </w:r>
          </w:p>
        </w:tc>
        <w:tc>
          <w:tcPr>
            <w:tcW w:w="8688" w:type="dxa"/>
            <w:noWrap w:val="0"/>
            <w:vAlign w:val="top"/>
          </w:tcPr>
          <w:p w14:paraId="3D1FED3D">
            <w:pPr>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重要仪表或需要频繁观察的仪表应安装在容易看到的地方</w:t>
            </w:r>
          </w:p>
        </w:tc>
        <w:tc>
          <w:tcPr>
            <w:tcW w:w="1093" w:type="dxa"/>
            <w:noWrap w:val="0"/>
            <w:vAlign w:val="center"/>
          </w:tcPr>
          <w:p w14:paraId="3A9CEE65">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w:t>
            </w:r>
          </w:p>
        </w:tc>
      </w:tr>
      <w:tr w14:paraId="1CAD2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14:paraId="76C24A0C">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w:t>
            </w:r>
          </w:p>
        </w:tc>
        <w:tc>
          <w:tcPr>
            <w:tcW w:w="8688" w:type="dxa"/>
            <w:noWrap w:val="0"/>
            <w:vAlign w:val="top"/>
          </w:tcPr>
          <w:p w14:paraId="6A1A4BEB">
            <w:pPr>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仪表盘数值精度，应使操作者能很快读出，且读出的单位能直接应用，原则上不要再进行换算。</w:t>
            </w:r>
          </w:p>
        </w:tc>
        <w:tc>
          <w:tcPr>
            <w:tcW w:w="1093" w:type="dxa"/>
            <w:noWrap w:val="0"/>
            <w:vAlign w:val="center"/>
          </w:tcPr>
          <w:p w14:paraId="52F75344">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w:t>
            </w:r>
          </w:p>
        </w:tc>
      </w:tr>
      <w:tr w14:paraId="2663B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14:paraId="5D79888C">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w:t>
            </w:r>
          </w:p>
        </w:tc>
        <w:tc>
          <w:tcPr>
            <w:tcW w:w="8688" w:type="dxa"/>
            <w:noWrap w:val="0"/>
            <w:vAlign w:val="top"/>
          </w:tcPr>
          <w:p w14:paraId="5432BE4B">
            <w:pPr>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压力、流量和温度仪表应有上、下限和正常值的标记</w:t>
            </w:r>
          </w:p>
        </w:tc>
        <w:tc>
          <w:tcPr>
            <w:tcW w:w="1093" w:type="dxa"/>
            <w:noWrap w:val="0"/>
            <w:vAlign w:val="center"/>
          </w:tcPr>
          <w:p w14:paraId="6C5EF0A6">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w:t>
            </w:r>
          </w:p>
        </w:tc>
      </w:tr>
      <w:tr w14:paraId="2E597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14:paraId="46C1F3E2">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6</w:t>
            </w:r>
          </w:p>
        </w:tc>
        <w:tc>
          <w:tcPr>
            <w:tcW w:w="8688" w:type="dxa"/>
            <w:noWrap w:val="0"/>
            <w:vAlign w:val="top"/>
          </w:tcPr>
          <w:p w14:paraId="068E0C40">
            <w:pPr>
              <w:spacing w:line="240" w:lineRule="atLeas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仪表刻度的增加方向，原则上是由左到右，由下到上</w:t>
            </w:r>
          </w:p>
        </w:tc>
        <w:tc>
          <w:tcPr>
            <w:tcW w:w="1093" w:type="dxa"/>
            <w:noWrap w:val="0"/>
            <w:vAlign w:val="center"/>
          </w:tcPr>
          <w:p w14:paraId="053130B4">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w:t>
            </w:r>
          </w:p>
        </w:tc>
      </w:tr>
      <w:tr w14:paraId="4C8BC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14:paraId="19736D1B">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7</w:t>
            </w:r>
          </w:p>
        </w:tc>
        <w:tc>
          <w:tcPr>
            <w:tcW w:w="8688" w:type="dxa"/>
            <w:noWrap w:val="0"/>
            <w:vAlign w:val="top"/>
          </w:tcPr>
          <w:p w14:paraId="4D946D02">
            <w:pPr>
              <w:spacing w:line="240" w:lineRule="atLeas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操作器和有关仪表应相互对应，按操作程序布置</w:t>
            </w:r>
          </w:p>
        </w:tc>
        <w:tc>
          <w:tcPr>
            <w:tcW w:w="1093" w:type="dxa"/>
            <w:noWrap w:val="0"/>
            <w:vAlign w:val="center"/>
          </w:tcPr>
          <w:p w14:paraId="58439597">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w:t>
            </w:r>
          </w:p>
        </w:tc>
      </w:tr>
      <w:tr w14:paraId="76662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14:paraId="44A754E8">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8</w:t>
            </w:r>
          </w:p>
        </w:tc>
        <w:tc>
          <w:tcPr>
            <w:tcW w:w="8688" w:type="dxa"/>
            <w:noWrap w:val="0"/>
            <w:vAlign w:val="top"/>
          </w:tcPr>
          <w:p w14:paraId="5317EF33">
            <w:pPr>
              <w:spacing w:line="240" w:lineRule="atLeas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操作器的动作方向原则上应和仪表的指针的动作方向一致</w:t>
            </w:r>
          </w:p>
        </w:tc>
        <w:tc>
          <w:tcPr>
            <w:tcW w:w="1093" w:type="dxa"/>
            <w:noWrap w:val="0"/>
            <w:vAlign w:val="center"/>
          </w:tcPr>
          <w:p w14:paraId="755BE4D3">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w:t>
            </w:r>
          </w:p>
        </w:tc>
      </w:tr>
      <w:tr w14:paraId="59C5B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14:paraId="0351937F">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9</w:t>
            </w:r>
          </w:p>
        </w:tc>
        <w:tc>
          <w:tcPr>
            <w:tcW w:w="8688" w:type="dxa"/>
            <w:noWrap w:val="0"/>
            <w:vAlign w:val="top"/>
          </w:tcPr>
          <w:p w14:paraId="5DC6D9C3">
            <w:pPr>
              <w:spacing w:line="240" w:lineRule="atLeas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如操作器会对仪表发生影响，应把仪表装在不受影响的地方、如操作器和仪表装的很近，要注意工作人员的手部不易碰到开关按钮</w:t>
            </w:r>
          </w:p>
        </w:tc>
        <w:tc>
          <w:tcPr>
            <w:tcW w:w="1093" w:type="dxa"/>
            <w:noWrap w:val="0"/>
            <w:vAlign w:val="center"/>
          </w:tcPr>
          <w:p w14:paraId="2BCB5456">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w:t>
            </w:r>
          </w:p>
        </w:tc>
      </w:tr>
      <w:tr w14:paraId="6B0E5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14:paraId="2755DA9D">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10</w:t>
            </w:r>
          </w:p>
        </w:tc>
        <w:tc>
          <w:tcPr>
            <w:tcW w:w="8688" w:type="dxa"/>
            <w:noWrap w:val="0"/>
            <w:vAlign w:val="top"/>
          </w:tcPr>
          <w:p w14:paraId="6C025210">
            <w:pPr>
              <w:spacing w:line="240" w:lineRule="atLeas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为防止主要机器误操作，应设置联锁回路</w:t>
            </w:r>
          </w:p>
        </w:tc>
        <w:tc>
          <w:tcPr>
            <w:tcW w:w="1093" w:type="dxa"/>
            <w:noWrap w:val="0"/>
            <w:vAlign w:val="center"/>
          </w:tcPr>
          <w:p w14:paraId="795FAE47">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w:t>
            </w:r>
          </w:p>
        </w:tc>
      </w:tr>
      <w:tr w14:paraId="04818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14:paraId="43E71308">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11</w:t>
            </w:r>
          </w:p>
        </w:tc>
        <w:tc>
          <w:tcPr>
            <w:tcW w:w="8688" w:type="dxa"/>
            <w:noWrap w:val="0"/>
            <w:vAlign w:val="top"/>
          </w:tcPr>
          <w:p w14:paraId="71D4DF39">
            <w:pPr>
              <w:spacing w:line="240" w:lineRule="atLeas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设备验收时提供设备上使用仪表、仪器的合格证和随机附带的说明书</w:t>
            </w:r>
          </w:p>
        </w:tc>
        <w:tc>
          <w:tcPr>
            <w:tcW w:w="1093" w:type="dxa"/>
            <w:noWrap w:val="0"/>
            <w:vAlign w:val="center"/>
          </w:tcPr>
          <w:p w14:paraId="25203396">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w:t>
            </w:r>
          </w:p>
        </w:tc>
      </w:tr>
      <w:tr w14:paraId="4D9FA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10" w:type="dxa"/>
            <w:noWrap w:val="0"/>
            <w:vAlign w:val="center"/>
          </w:tcPr>
          <w:p w14:paraId="0726E3A8">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12</w:t>
            </w:r>
          </w:p>
        </w:tc>
        <w:tc>
          <w:tcPr>
            <w:tcW w:w="8688" w:type="dxa"/>
            <w:noWrap w:val="0"/>
            <w:vAlign w:val="top"/>
          </w:tcPr>
          <w:p w14:paraId="70E61505">
            <w:pPr>
              <w:rPr>
                <w:rFonts w:hint="eastAsia" w:ascii="微软雅黑" w:hAnsi="微软雅黑" w:eastAsia="微软雅黑" w:cs="微软雅黑"/>
                <w:bCs/>
                <w:color w:val="auto"/>
                <w:sz w:val="21"/>
                <w:szCs w:val="21"/>
              </w:rPr>
            </w:pPr>
            <w:r>
              <w:rPr>
                <w:rFonts w:hint="eastAsia" w:ascii="微软雅黑" w:hAnsi="微软雅黑" w:eastAsia="微软雅黑" w:cs="微软雅黑"/>
                <w:color w:val="auto"/>
                <w:sz w:val="21"/>
                <w:szCs w:val="21"/>
              </w:rPr>
              <w:t>设备安全应急预案、14000环境识别因素和设备操作光盘。</w:t>
            </w:r>
          </w:p>
        </w:tc>
        <w:tc>
          <w:tcPr>
            <w:tcW w:w="1093" w:type="dxa"/>
            <w:noWrap w:val="0"/>
            <w:vAlign w:val="center"/>
          </w:tcPr>
          <w:p w14:paraId="3EBF0EFE">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w:t>
            </w:r>
          </w:p>
        </w:tc>
      </w:tr>
    </w:tbl>
    <w:p w14:paraId="4C10347A">
      <w:pPr>
        <w:tabs>
          <w:tab w:val="left" w:pos="0"/>
        </w:tabs>
        <w:spacing w:after="50" w:line="240" w:lineRule="atLeast"/>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设备符合国家标准：用能单位能源计量器具配备和管理通则。</w:t>
      </w:r>
    </w:p>
    <w:p w14:paraId="4065628C">
      <w:pPr>
        <w:spacing w:line="240" w:lineRule="atLeast"/>
        <w:rPr>
          <w:rFonts w:hint="eastAsia" w:ascii="微软雅黑" w:hAnsi="微软雅黑" w:eastAsia="微软雅黑" w:cs="微软雅黑"/>
          <w:b/>
          <w:color w:val="auto"/>
          <w:sz w:val="21"/>
          <w:szCs w:val="21"/>
        </w:rPr>
      </w:pPr>
    </w:p>
    <w:p w14:paraId="6EE93CFC">
      <w:pPr>
        <w:spacing w:line="240" w:lineRule="atLeast"/>
        <w:outlineLvl w:val="0"/>
        <w:rPr>
          <w:rFonts w:hint="eastAsia" w:ascii="微软雅黑" w:hAnsi="微软雅黑" w:eastAsia="微软雅黑" w:cs="微软雅黑"/>
          <w:b/>
          <w:color w:val="auto"/>
          <w:sz w:val="21"/>
          <w:szCs w:val="21"/>
        </w:rPr>
      </w:pPr>
      <w:bookmarkStart w:id="19" w:name="_Toc29747"/>
      <w:r>
        <w:rPr>
          <w:rFonts w:hint="eastAsia" w:ascii="微软雅黑" w:hAnsi="微软雅黑" w:eastAsia="微软雅黑" w:cs="微软雅黑"/>
          <w:b/>
          <w:color w:val="auto"/>
          <w:sz w:val="21"/>
          <w:szCs w:val="21"/>
          <w:lang w:val="en-US" w:eastAsia="zh-CN"/>
        </w:rPr>
        <w:t>八</w:t>
      </w:r>
      <w:r>
        <w:rPr>
          <w:rFonts w:hint="eastAsia" w:ascii="微软雅黑" w:hAnsi="微软雅黑" w:eastAsia="微软雅黑" w:cs="微软雅黑"/>
          <w:b/>
          <w:color w:val="auto"/>
          <w:sz w:val="21"/>
          <w:szCs w:val="21"/>
        </w:rPr>
        <w:t>、</w:t>
      </w:r>
      <w:r>
        <w:rPr>
          <w:rStyle w:val="28"/>
          <w:rFonts w:hint="eastAsia" w:ascii="微软雅黑" w:hAnsi="微软雅黑" w:eastAsia="微软雅黑" w:cs="微软雅黑"/>
          <w:color w:val="auto"/>
          <w:sz w:val="21"/>
          <w:szCs w:val="21"/>
        </w:rPr>
        <w:t>元器件配置要求</w:t>
      </w:r>
      <w:r>
        <w:rPr>
          <w:rFonts w:hint="eastAsia" w:ascii="微软雅黑" w:hAnsi="微软雅黑" w:eastAsia="微软雅黑" w:cs="微软雅黑"/>
          <w:b/>
          <w:color w:val="auto"/>
          <w:sz w:val="21"/>
          <w:szCs w:val="21"/>
        </w:rPr>
        <w:t>：</w:t>
      </w:r>
      <w:bookmarkEnd w:id="19"/>
    </w:p>
    <w:p w14:paraId="1B78A9B3">
      <w:pPr>
        <w:tabs>
          <w:tab w:val="left" w:pos="0"/>
        </w:tabs>
        <w:spacing w:after="50" w:line="240" w:lineRule="atLeast"/>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全部无线主设备、配套天线、馈线、交换机选用 H3C / 华为 / RUCKUS/ARUBA 原厂标准产品，禁止乙方独有定制元器件，保证后期通用备件采购。</w:t>
      </w:r>
    </w:p>
    <w:p w14:paraId="5C7AE633">
      <w:pPr>
        <w:tabs>
          <w:tab w:val="left" w:pos="0"/>
        </w:tabs>
        <w:spacing w:after="50" w:line="240" w:lineRule="atLeast"/>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所有物料通过品牌官方正规渠道采购，提供原厂供货证明、序列号质保备案。</w:t>
      </w:r>
    </w:p>
    <w:p w14:paraId="574A2CAC">
      <w:pPr>
        <w:tabs>
          <w:tab w:val="left" w:pos="0"/>
        </w:tabs>
        <w:spacing w:after="50" w:line="240" w:lineRule="atLeast"/>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若实际供货设备品牌、型号、参数与招标文件要求不符，乙方无偿全部更换合格设备，并按该批次物料采购价值 10 倍支付违约金；未经甲方书面确认私自替换材料，同等追责。</w:t>
      </w:r>
    </w:p>
    <w:p w14:paraId="138C06CD">
      <w:pPr>
        <w:tabs>
          <w:tab w:val="left" w:pos="0"/>
        </w:tabs>
        <w:spacing w:after="50" w:line="240" w:lineRule="atLeast"/>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若检出翻新、二手、水货、假冒无线设备，除十倍物料赔偿外，乙方 3 日内全部更换全新原厂设备，并承担项目停工损失。</w:t>
      </w:r>
    </w:p>
    <w:p w14:paraId="0AD33246">
      <w:pPr>
        <w:spacing w:line="240" w:lineRule="atLeast"/>
        <w:ind w:left="420" w:leftChars="0"/>
        <w:jc w:val="left"/>
        <w:outlineLvl w:val="0"/>
        <w:rPr>
          <w:rStyle w:val="28"/>
          <w:rFonts w:hint="eastAsia" w:ascii="微软雅黑" w:hAnsi="微软雅黑" w:eastAsia="微软雅黑" w:cs="微软雅黑"/>
          <w:color w:val="auto"/>
          <w:sz w:val="21"/>
          <w:szCs w:val="21"/>
        </w:rPr>
      </w:pPr>
      <w:bookmarkStart w:id="20" w:name="_Toc485"/>
      <w:r>
        <w:rPr>
          <w:rFonts w:hint="eastAsia" w:ascii="微软雅黑" w:hAnsi="微软雅黑" w:eastAsia="微软雅黑" w:cs="微软雅黑"/>
          <w:b/>
          <w:color w:val="auto"/>
          <w:sz w:val="21"/>
          <w:szCs w:val="21"/>
          <w:lang w:val="en-US" w:eastAsia="zh-CN"/>
        </w:rPr>
        <w:t>九</w:t>
      </w:r>
      <w:r>
        <w:rPr>
          <w:rFonts w:hint="eastAsia" w:ascii="微软雅黑" w:hAnsi="微软雅黑" w:eastAsia="微软雅黑" w:cs="微软雅黑"/>
          <w:b/>
          <w:color w:val="auto"/>
          <w:sz w:val="21"/>
          <w:szCs w:val="21"/>
        </w:rPr>
        <w:t>、</w:t>
      </w:r>
      <w:r>
        <w:rPr>
          <w:rStyle w:val="28"/>
          <w:rFonts w:hint="eastAsia" w:ascii="微软雅黑" w:hAnsi="微软雅黑" w:eastAsia="微软雅黑" w:cs="微软雅黑"/>
          <w:color w:val="auto"/>
          <w:sz w:val="21"/>
          <w:szCs w:val="21"/>
        </w:rPr>
        <w:t>备件要求：</w:t>
      </w:r>
      <w:bookmarkEnd w:id="20"/>
    </w:p>
    <w:p w14:paraId="6A8054C8">
      <w:pPr>
        <w:tabs>
          <w:tab w:val="left" w:pos="0"/>
        </w:tabs>
        <w:spacing w:after="50" w:line="240" w:lineRule="atLeast"/>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投标方投标文件中单独填报无线系统易损备件清单（AP 电源、射频接头、防水套件、POE 模块等），列明型号、数量，随设备同步交付甲方，质保期内备件免费更换。</w:t>
      </w:r>
    </w:p>
    <w:p w14:paraId="721E1662">
      <w:pPr>
        <w:tabs>
          <w:tab w:val="left" w:pos="0"/>
        </w:tabs>
        <w:spacing w:after="50" w:line="240" w:lineRule="atLeast"/>
        <w:jc w:val="left"/>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随机备件明细</w:t>
      </w:r>
      <w:r>
        <w:rPr>
          <w:rFonts w:hint="eastAsia" w:ascii="微软雅黑" w:hAnsi="微软雅黑" w:eastAsia="微软雅黑" w:cs="微软雅黑"/>
          <w:color w:val="auto"/>
          <w:sz w:val="21"/>
          <w:szCs w:val="21"/>
          <w:lang w:val="en-US" w:eastAsia="zh-CN"/>
        </w:rPr>
        <w:t>格式：</w:t>
      </w:r>
    </w:p>
    <w:tbl>
      <w:tblPr>
        <w:tblStyle w:val="20"/>
        <w:tblW w:w="10491" w:type="dxa"/>
        <w:tblInd w:w="-411" w:type="dxa"/>
        <w:tblLayout w:type="fixed"/>
        <w:tblCellMar>
          <w:top w:w="0" w:type="dxa"/>
          <w:left w:w="0" w:type="dxa"/>
          <w:bottom w:w="0" w:type="dxa"/>
          <w:right w:w="0" w:type="dxa"/>
        </w:tblCellMar>
      </w:tblPr>
      <w:tblGrid>
        <w:gridCol w:w="710"/>
        <w:gridCol w:w="4180"/>
        <w:gridCol w:w="3333"/>
        <w:gridCol w:w="2268"/>
      </w:tblGrid>
      <w:tr w14:paraId="78BF988A">
        <w:tblPrEx>
          <w:tblCellMar>
            <w:top w:w="0" w:type="dxa"/>
            <w:left w:w="0" w:type="dxa"/>
            <w:bottom w:w="0" w:type="dxa"/>
            <w:right w:w="0" w:type="dxa"/>
          </w:tblCellMar>
        </w:tblPrEx>
        <w:trPr>
          <w:trHeight w:val="230" w:hRule="atLeast"/>
        </w:trPr>
        <w:tc>
          <w:tcPr>
            <w:tcW w:w="10491" w:type="dxa"/>
            <w:gridSpan w:val="4"/>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89511B9">
            <w:pPr>
              <w:spacing w:line="240" w:lineRule="atLeast"/>
              <w:rPr>
                <w:rFonts w:hint="eastAsia" w:ascii="微软雅黑" w:hAnsi="微软雅黑" w:eastAsia="微软雅黑" w:cs="微软雅黑"/>
                <w:b/>
                <w:color w:val="auto"/>
                <w:sz w:val="21"/>
                <w:szCs w:val="21"/>
              </w:rPr>
            </w:pPr>
          </w:p>
        </w:tc>
      </w:tr>
      <w:tr w14:paraId="50002179">
        <w:tblPrEx>
          <w:tblCellMar>
            <w:top w:w="0" w:type="dxa"/>
            <w:left w:w="0" w:type="dxa"/>
            <w:bottom w:w="0" w:type="dxa"/>
            <w:right w:w="0" w:type="dxa"/>
          </w:tblCellMar>
        </w:tblPrEx>
        <w:trPr>
          <w:trHeight w:val="230" w:hRule="atLeast"/>
        </w:trPr>
        <w:tc>
          <w:tcPr>
            <w:tcW w:w="71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C69D8C1">
            <w:pPr>
              <w:spacing w:line="240" w:lineRule="atLeast"/>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序号</w:t>
            </w:r>
          </w:p>
        </w:tc>
        <w:tc>
          <w:tcPr>
            <w:tcW w:w="418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505AA00">
            <w:pPr>
              <w:spacing w:line="240" w:lineRule="atLeast"/>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名称</w:t>
            </w:r>
          </w:p>
        </w:tc>
        <w:tc>
          <w:tcPr>
            <w:tcW w:w="3333" w:type="dxa"/>
            <w:tcBorders>
              <w:top w:val="single" w:color="auto" w:sz="4" w:space="0"/>
              <w:left w:val="single" w:color="auto" w:sz="4" w:space="0"/>
              <w:bottom w:val="single" w:color="auto" w:sz="4" w:space="0"/>
              <w:right w:val="single" w:color="auto" w:sz="4" w:space="0"/>
            </w:tcBorders>
            <w:noWrap w:val="0"/>
            <w:vAlign w:val="center"/>
          </w:tcPr>
          <w:p w14:paraId="04A94111">
            <w:pPr>
              <w:spacing w:line="240" w:lineRule="atLeast"/>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数量</w:t>
            </w:r>
          </w:p>
        </w:tc>
        <w:tc>
          <w:tcPr>
            <w:tcW w:w="2268" w:type="dxa"/>
            <w:tcBorders>
              <w:top w:val="single" w:color="auto" w:sz="4" w:space="0"/>
              <w:left w:val="single" w:color="auto" w:sz="4" w:space="0"/>
              <w:bottom w:val="single" w:color="auto" w:sz="4" w:space="0"/>
              <w:right w:val="single" w:color="auto" w:sz="4" w:space="0"/>
            </w:tcBorders>
            <w:noWrap w:val="0"/>
            <w:vAlign w:val="center"/>
          </w:tcPr>
          <w:p w14:paraId="7E16BD67">
            <w:pPr>
              <w:spacing w:line="240" w:lineRule="atLeast"/>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备注</w:t>
            </w:r>
          </w:p>
        </w:tc>
      </w:tr>
      <w:tr w14:paraId="02DDF3B5">
        <w:tblPrEx>
          <w:tblCellMar>
            <w:top w:w="0" w:type="dxa"/>
            <w:left w:w="0" w:type="dxa"/>
            <w:bottom w:w="0" w:type="dxa"/>
            <w:right w:w="0" w:type="dxa"/>
          </w:tblCellMar>
        </w:tblPrEx>
        <w:trPr>
          <w:trHeight w:val="318" w:hRule="atLeast"/>
        </w:trPr>
        <w:tc>
          <w:tcPr>
            <w:tcW w:w="71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7C26E16">
            <w:pPr>
              <w:spacing w:line="240" w:lineRule="atLeast"/>
              <w:jc w:val="center"/>
              <w:rPr>
                <w:rFonts w:hint="eastAsia" w:ascii="微软雅黑" w:hAnsi="微软雅黑" w:eastAsia="微软雅黑" w:cs="微软雅黑"/>
                <w:color w:val="auto"/>
                <w:sz w:val="21"/>
                <w:szCs w:val="21"/>
              </w:rPr>
            </w:pPr>
          </w:p>
        </w:tc>
        <w:tc>
          <w:tcPr>
            <w:tcW w:w="418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EEDAD4">
            <w:pPr>
              <w:spacing w:line="240" w:lineRule="atLeast"/>
              <w:jc w:val="center"/>
              <w:rPr>
                <w:rFonts w:hint="eastAsia" w:ascii="微软雅黑" w:hAnsi="微软雅黑" w:eastAsia="微软雅黑" w:cs="微软雅黑"/>
                <w:color w:val="auto"/>
                <w:sz w:val="21"/>
                <w:szCs w:val="21"/>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44976C19">
            <w:pPr>
              <w:spacing w:line="240" w:lineRule="atLeast"/>
              <w:jc w:val="center"/>
              <w:rPr>
                <w:rFonts w:hint="eastAsia" w:ascii="微软雅黑" w:hAnsi="微软雅黑" w:eastAsia="微软雅黑" w:cs="微软雅黑"/>
                <w:color w:val="auto"/>
                <w:sz w:val="21"/>
                <w:szCs w:val="21"/>
              </w:rPr>
            </w:pPr>
          </w:p>
        </w:tc>
        <w:tc>
          <w:tcPr>
            <w:tcW w:w="2268" w:type="dxa"/>
            <w:tcBorders>
              <w:top w:val="single" w:color="auto" w:sz="4" w:space="0"/>
              <w:left w:val="single" w:color="auto" w:sz="4" w:space="0"/>
              <w:bottom w:val="single" w:color="auto" w:sz="4" w:space="0"/>
              <w:right w:val="single" w:color="auto" w:sz="4" w:space="0"/>
            </w:tcBorders>
            <w:noWrap w:val="0"/>
            <w:vAlign w:val="center"/>
          </w:tcPr>
          <w:p w14:paraId="22AAAE4F">
            <w:pPr>
              <w:spacing w:line="240" w:lineRule="atLeast"/>
              <w:jc w:val="center"/>
              <w:rPr>
                <w:rFonts w:hint="eastAsia" w:ascii="微软雅黑" w:hAnsi="微软雅黑" w:eastAsia="微软雅黑" w:cs="微软雅黑"/>
                <w:color w:val="auto"/>
                <w:sz w:val="21"/>
                <w:szCs w:val="21"/>
              </w:rPr>
            </w:pPr>
          </w:p>
        </w:tc>
      </w:tr>
    </w:tbl>
    <w:p w14:paraId="54B2F9E3">
      <w:pPr>
        <w:spacing w:line="240" w:lineRule="atLeast"/>
        <w:rPr>
          <w:rFonts w:hint="eastAsia" w:ascii="微软雅黑" w:hAnsi="微软雅黑" w:eastAsia="微软雅黑" w:cs="微软雅黑"/>
          <w:b/>
          <w:color w:val="auto"/>
          <w:sz w:val="21"/>
          <w:szCs w:val="21"/>
        </w:rPr>
      </w:pPr>
    </w:p>
    <w:p w14:paraId="0FC35A57">
      <w:pPr>
        <w:spacing w:line="240" w:lineRule="atLeast"/>
        <w:outlineLvl w:val="0"/>
        <w:rPr>
          <w:rFonts w:hint="eastAsia" w:ascii="微软雅黑" w:hAnsi="微软雅黑" w:eastAsia="微软雅黑" w:cs="微软雅黑"/>
          <w:b/>
          <w:color w:val="auto"/>
          <w:sz w:val="21"/>
          <w:szCs w:val="21"/>
        </w:rPr>
      </w:pPr>
      <w:bookmarkStart w:id="21" w:name="_Toc3997"/>
      <w:r>
        <w:rPr>
          <w:rFonts w:hint="eastAsia" w:ascii="微软雅黑" w:hAnsi="微软雅黑" w:eastAsia="微软雅黑" w:cs="微软雅黑"/>
          <w:b/>
          <w:color w:val="auto"/>
          <w:sz w:val="21"/>
          <w:szCs w:val="21"/>
          <w:lang w:val="en-US" w:eastAsia="zh-CN"/>
        </w:rPr>
        <w:t>十</w:t>
      </w:r>
      <w:r>
        <w:rPr>
          <w:rFonts w:hint="eastAsia" w:ascii="微软雅黑" w:hAnsi="微软雅黑" w:eastAsia="微软雅黑" w:cs="微软雅黑"/>
          <w:b/>
          <w:color w:val="auto"/>
          <w:sz w:val="21"/>
          <w:szCs w:val="21"/>
        </w:rPr>
        <w:t>、</w:t>
      </w:r>
      <w:r>
        <w:rPr>
          <w:rStyle w:val="28"/>
          <w:rFonts w:hint="eastAsia" w:ascii="微软雅黑" w:hAnsi="微软雅黑" w:eastAsia="微软雅黑" w:cs="微软雅黑"/>
          <w:color w:val="auto"/>
          <w:sz w:val="21"/>
          <w:szCs w:val="21"/>
        </w:rPr>
        <w:t>设备发货和运输要求</w:t>
      </w:r>
      <w:r>
        <w:rPr>
          <w:rFonts w:hint="eastAsia" w:ascii="微软雅黑" w:hAnsi="微软雅黑" w:eastAsia="微软雅黑" w:cs="微软雅黑"/>
          <w:b/>
          <w:color w:val="auto"/>
          <w:sz w:val="21"/>
          <w:szCs w:val="21"/>
        </w:rPr>
        <w:t>：</w:t>
      </w:r>
      <w:bookmarkEnd w:id="21"/>
    </w:p>
    <w:p w14:paraId="4D93C16A">
      <w:pPr>
        <w:tabs>
          <w:tab w:val="left" w:pos="0"/>
        </w:tabs>
        <w:spacing w:after="50" w:line="240" w:lineRule="atLeast"/>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运输、卸货、现场搬运全部由乙方负责，所有运输损耗、漏发货品产生的运费、税费、工期延误损失由乙方承担；</w:t>
      </w:r>
    </w:p>
    <w:p w14:paraId="0D04FB03">
      <w:pPr>
        <w:tabs>
          <w:tab w:val="left" w:pos="0"/>
        </w:tabs>
        <w:spacing w:after="50" w:line="240" w:lineRule="atLeast"/>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设备出厂前完成出厂检测，出具合格证明；发货前 15 日书面告知甲方发货计划、到货周期；</w:t>
      </w:r>
    </w:p>
    <w:p w14:paraId="603E6A52">
      <w:pPr>
        <w:tabs>
          <w:tab w:val="left" w:pos="0"/>
        </w:tabs>
        <w:spacing w:after="50" w:line="240" w:lineRule="atLeast"/>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包装具备防雨、防尘、防撞防护，底部木质托盘便于叉车装卸；包装箱标注合同号、设备名称、箱号、防潮 / 向上标识；</w:t>
      </w:r>
    </w:p>
    <w:p w14:paraId="11446149">
      <w:pPr>
        <w:tabs>
          <w:tab w:val="left" w:pos="0"/>
        </w:tabs>
        <w:spacing w:after="50" w:line="240" w:lineRule="atLeast"/>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到货后甲乙双方共同清点设备、辅材、资料，签署到货确认单，漏发货品乙方 7 日内补发到位。</w:t>
      </w:r>
    </w:p>
    <w:p w14:paraId="4E0A4A7F">
      <w:pPr>
        <w:spacing w:line="240" w:lineRule="atLeast"/>
        <w:rPr>
          <w:rFonts w:hint="eastAsia" w:ascii="微软雅黑" w:hAnsi="微软雅黑" w:eastAsia="微软雅黑" w:cs="微软雅黑"/>
          <w:b/>
          <w:color w:val="auto"/>
          <w:sz w:val="21"/>
          <w:szCs w:val="21"/>
        </w:rPr>
      </w:pPr>
    </w:p>
    <w:p w14:paraId="6DD0D8A4">
      <w:pPr>
        <w:spacing w:line="240" w:lineRule="atLeast"/>
        <w:outlineLvl w:val="0"/>
        <w:rPr>
          <w:rFonts w:hint="eastAsia" w:ascii="微软雅黑" w:hAnsi="微软雅黑" w:eastAsia="微软雅黑" w:cs="微软雅黑"/>
          <w:b/>
          <w:color w:val="auto"/>
          <w:sz w:val="21"/>
          <w:szCs w:val="21"/>
        </w:rPr>
      </w:pPr>
      <w:bookmarkStart w:id="22" w:name="_Toc25913"/>
      <w:r>
        <w:rPr>
          <w:rFonts w:hint="eastAsia" w:ascii="微软雅黑" w:hAnsi="微软雅黑" w:eastAsia="微软雅黑" w:cs="微软雅黑"/>
          <w:b/>
          <w:color w:val="auto"/>
          <w:sz w:val="21"/>
          <w:szCs w:val="21"/>
          <w:lang w:val="en-US" w:eastAsia="zh-CN"/>
        </w:rPr>
        <w:t>十一</w:t>
      </w:r>
      <w:r>
        <w:rPr>
          <w:rFonts w:hint="eastAsia" w:ascii="微软雅黑" w:hAnsi="微软雅黑" w:eastAsia="微软雅黑" w:cs="微软雅黑"/>
          <w:b/>
          <w:color w:val="auto"/>
          <w:sz w:val="21"/>
          <w:szCs w:val="21"/>
        </w:rPr>
        <w:t>、</w:t>
      </w:r>
      <w:r>
        <w:rPr>
          <w:rStyle w:val="28"/>
          <w:rFonts w:hint="eastAsia" w:ascii="微软雅黑" w:hAnsi="微软雅黑" w:eastAsia="微软雅黑" w:cs="微软雅黑"/>
          <w:color w:val="auto"/>
          <w:sz w:val="21"/>
          <w:szCs w:val="21"/>
          <w:lang w:val="en-US" w:eastAsia="zh-CN"/>
        </w:rPr>
        <w:t>项目实施现场管理规范</w:t>
      </w:r>
      <w:r>
        <w:rPr>
          <w:rFonts w:hint="eastAsia" w:ascii="微软雅黑" w:hAnsi="微软雅黑" w:eastAsia="微软雅黑" w:cs="微软雅黑"/>
          <w:b/>
          <w:color w:val="auto"/>
          <w:sz w:val="21"/>
          <w:szCs w:val="21"/>
          <w:lang w:val="en-US" w:eastAsia="zh-CN"/>
        </w:rPr>
        <w:t>：</w:t>
      </w:r>
      <w:bookmarkEnd w:id="22"/>
    </w:p>
    <w:p w14:paraId="49E486B1">
      <w:pPr>
        <w:tabs>
          <w:tab w:val="left" w:pos="0"/>
        </w:tabs>
        <w:spacing w:after="50" w:line="240" w:lineRule="atLeast"/>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进场施工前乙方提交完整安装调试方案、安全施工方案，提前告知甲方需配合事项；</w:t>
      </w:r>
    </w:p>
    <w:p w14:paraId="67EF1511">
      <w:pPr>
        <w:tabs>
          <w:tab w:val="left" w:pos="0"/>
        </w:tabs>
        <w:spacing w:after="50" w:line="240" w:lineRule="atLeast"/>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施工区域设置隔离警示标识，严格遵守甲方厂区安保、动火、登高管理规定；</w:t>
      </w:r>
    </w:p>
    <w:p w14:paraId="2BDBE925">
      <w:pPr>
        <w:tabs>
          <w:tab w:val="left" w:pos="0"/>
        </w:tabs>
        <w:spacing w:after="50" w:line="240" w:lineRule="atLeast"/>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安装调试期间设备保管责任归属乙方，丢失、损坏由乙方全额补偿；</w:t>
      </w:r>
    </w:p>
    <w:p w14:paraId="3F61C0F7">
      <w:pPr>
        <w:tabs>
          <w:tab w:val="left" w:pos="0"/>
        </w:tabs>
        <w:spacing w:after="50" w:line="240" w:lineRule="atLeast"/>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乙方全权管理自身施工人员、分包单位，人员违规、上访、安全事故全部由乙方承担赔偿；</w:t>
      </w:r>
    </w:p>
    <w:p w14:paraId="4F6AEB8D">
      <w:pPr>
        <w:tabs>
          <w:tab w:val="left" w:pos="0"/>
        </w:tabs>
        <w:spacing w:after="50" w:line="240" w:lineRule="atLeast"/>
        <w:jc w:val="left"/>
        <w:rPr>
          <w:rFonts w:hint="eastAsia" w:ascii="微软雅黑" w:hAnsi="微软雅黑" w:eastAsia="微软雅黑" w:cs="微软雅黑"/>
          <w:b/>
          <w:color w:val="auto"/>
          <w:sz w:val="21"/>
          <w:szCs w:val="21"/>
        </w:rPr>
      </w:pPr>
      <w:r>
        <w:rPr>
          <w:rFonts w:hint="eastAsia" w:ascii="微软雅黑" w:hAnsi="微软雅黑" w:eastAsia="微软雅黑" w:cs="微软雅黑"/>
          <w:color w:val="auto"/>
          <w:sz w:val="21"/>
          <w:szCs w:val="21"/>
        </w:rPr>
        <w:t>·  施工完成双方签署安装调试确认单，未书面确认不得投入 AGV 生产使用；每次现场服务完成提交点检记录单甲乙双方存档。</w:t>
      </w:r>
    </w:p>
    <w:p w14:paraId="5AE5C95C">
      <w:pPr>
        <w:spacing w:line="240" w:lineRule="atLeast"/>
        <w:outlineLvl w:val="0"/>
        <w:rPr>
          <w:rFonts w:hint="eastAsia" w:ascii="微软雅黑" w:hAnsi="微软雅黑" w:eastAsia="微软雅黑" w:cs="微软雅黑"/>
          <w:b/>
          <w:color w:val="auto"/>
          <w:sz w:val="21"/>
          <w:szCs w:val="21"/>
        </w:rPr>
      </w:pPr>
      <w:bookmarkStart w:id="23" w:name="_Toc16013"/>
      <w:r>
        <w:rPr>
          <w:rFonts w:hint="eastAsia" w:ascii="微软雅黑" w:hAnsi="微软雅黑" w:eastAsia="微软雅黑" w:cs="微软雅黑"/>
          <w:b/>
          <w:color w:val="auto"/>
          <w:sz w:val="21"/>
          <w:szCs w:val="21"/>
        </w:rPr>
        <w:t>十</w:t>
      </w:r>
      <w:r>
        <w:rPr>
          <w:rFonts w:hint="eastAsia" w:ascii="微软雅黑" w:hAnsi="微软雅黑" w:eastAsia="微软雅黑" w:cs="微软雅黑"/>
          <w:b/>
          <w:color w:val="auto"/>
          <w:sz w:val="21"/>
          <w:szCs w:val="21"/>
          <w:lang w:val="en-US" w:eastAsia="zh-CN"/>
        </w:rPr>
        <w:t>二</w:t>
      </w:r>
      <w:r>
        <w:rPr>
          <w:rFonts w:hint="eastAsia" w:ascii="微软雅黑" w:hAnsi="微软雅黑" w:eastAsia="微软雅黑" w:cs="微软雅黑"/>
          <w:b/>
          <w:color w:val="auto"/>
          <w:sz w:val="21"/>
          <w:szCs w:val="21"/>
        </w:rPr>
        <w:t>、</w:t>
      </w:r>
      <w:r>
        <w:rPr>
          <w:rStyle w:val="28"/>
          <w:rFonts w:hint="eastAsia" w:ascii="微软雅黑" w:hAnsi="微软雅黑" w:eastAsia="微软雅黑" w:cs="微软雅黑"/>
          <w:color w:val="auto"/>
          <w:sz w:val="21"/>
          <w:szCs w:val="21"/>
        </w:rPr>
        <w:t>培训要求</w:t>
      </w:r>
      <w:r>
        <w:rPr>
          <w:rFonts w:hint="eastAsia" w:ascii="微软雅黑" w:hAnsi="微软雅黑" w:eastAsia="微软雅黑" w:cs="微软雅黑"/>
          <w:b/>
          <w:color w:val="auto"/>
          <w:sz w:val="21"/>
          <w:szCs w:val="21"/>
        </w:rPr>
        <w:t>：</w:t>
      </w:r>
      <w:bookmarkEnd w:id="23"/>
      <w:r>
        <w:rPr>
          <w:rFonts w:hint="eastAsia" w:ascii="微软雅黑" w:hAnsi="微软雅黑" w:eastAsia="微软雅黑" w:cs="微软雅黑"/>
          <w:b/>
          <w:color w:val="auto"/>
          <w:sz w:val="21"/>
          <w:szCs w:val="21"/>
        </w:rPr>
        <w:t xml:space="preserve"> </w:t>
      </w:r>
    </w:p>
    <w:tbl>
      <w:tblPr>
        <w:tblStyle w:val="20"/>
        <w:tblW w:w="1049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8604"/>
        <w:gridCol w:w="1177"/>
      </w:tblGrid>
      <w:tr w14:paraId="13EA2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top"/>
          </w:tcPr>
          <w:p w14:paraId="47D2A7AA">
            <w:pPr>
              <w:spacing w:line="240" w:lineRule="atLeast"/>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序号</w:t>
            </w:r>
          </w:p>
        </w:tc>
        <w:tc>
          <w:tcPr>
            <w:tcW w:w="8604" w:type="dxa"/>
            <w:noWrap w:val="0"/>
            <w:vAlign w:val="top"/>
          </w:tcPr>
          <w:p w14:paraId="647B094D">
            <w:pPr>
              <w:spacing w:line="240" w:lineRule="atLeast"/>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详细要求</w:t>
            </w:r>
          </w:p>
        </w:tc>
        <w:tc>
          <w:tcPr>
            <w:tcW w:w="1177" w:type="dxa"/>
            <w:noWrap w:val="0"/>
            <w:vAlign w:val="top"/>
          </w:tcPr>
          <w:p w14:paraId="0121268E">
            <w:pP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性质：一般</w:t>
            </w:r>
          </w:p>
        </w:tc>
      </w:tr>
      <w:tr w14:paraId="3F322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14:paraId="6636583C">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w:t>
            </w:r>
          </w:p>
        </w:tc>
        <w:tc>
          <w:tcPr>
            <w:tcW w:w="8604" w:type="dxa"/>
            <w:noWrap w:val="0"/>
            <w:vAlign w:val="top"/>
          </w:tcPr>
          <w:p w14:paraId="134E6167">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在设备安装调试期间，乙方免费对甲方的操作和维修人员进行设备原理、操作、维护、维修、编程等方面的</w:t>
            </w:r>
          </w:p>
          <w:p w14:paraId="453C2640">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培训，并在调试完成后对甲方指定人员进行不少于</w:t>
            </w:r>
            <w:r>
              <w:rPr>
                <w:rFonts w:hint="eastAsia" w:ascii="微软雅黑" w:hAnsi="微软雅黑" w:eastAsia="微软雅黑" w:cs="微软雅黑"/>
                <w:color w:val="auto"/>
                <w:sz w:val="21"/>
                <w:szCs w:val="21"/>
                <w:u w:val="single"/>
              </w:rPr>
              <w:t xml:space="preserve">  1  </w:t>
            </w:r>
            <w:r>
              <w:rPr>
                <w:rFonts w:hint="eastAsia" w:ascii="微软雅黑" w:hAnsi="微软雅黑" w:eastAsia="微软雅黑" w:cs="微软雅黑"/>
                <w:color w:val="auto"/>
                <w:sz w:val="21"/>
                <w:szCs w:val="21"/>
              </w:rPr>
              <w:t>个工作日的关于操作、使用编程和维修的培训（培</w:t>
            </w:r>
          </w:p>
          <w:p w14:paraId="5485F00C">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训应有记录和双方人员的确认），并提供培训资料。</w:t>
            </w:r>
          </w:p>
          <w:p w14:paraId="7CBE040D">
            <w:pPr>
              <w:rPr>
                <w:rFonts w:hint="eastAsia" w:ascii="微软雅黑" w:hAnsi="微软雅黑" w:eastAsia="微软雅黑" w:cs="微软雅黑"/>
                <w:b/>
                <w:color w:val="auto"/>
                <w:sz w:val="21"/>
                <w:szCs w:val="21"/>
              </w:rPr>
            </w:pPr>
            <w:r>
              <w:rPr>
                <w:rFonts w:hint="eastAsia" w:ascii="微软雅黑" w:hAnsi="微软雅黑" w:eastAsia="微软雅黑" w:cs="微软雅黑"/>
                <w:color w:val="auto"/>
                <w:sz w:val="21"/>
                <w:szCs w:val="21"/>
              </w:rPr>
              <w:t>甲方在设备安装调试期间，提供被培训人员名单，并确保被培训人员及时参加培训。</w:t>
            </w:r>
          </w:p>
        </w:tc>
        <w:tc>
          <w:tcPr>
            <w:tcW w:w="1177" w:type="dxa"/>
            <w:noWrap w:val="0"/>
            <w:vAlign w:val="center"/>
          </w:tcPr>
          <w:p w14:paraId="1F1E9B54">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一般</w:t>
            </w:r>
          </w:p>
        </w:tc>
      </w:tr>
    </w:tbl>
    <w:p w14:paraId="58F8A489">
      <w:pPr>
        <w:spacing w:line="240" w:lineRule="atLeast"/>
        <w:rPr>
          <w:rFonts w:hint="eastAsia" w:ascii="微软雅黑" w:hAnsi="微软雅黑" w:eastAsia="微软雅黑" w:cs="微软雅黑"/>
          <w:color w:val="auto"/>
          <w:sz w:val="21"/>
          <w:szCs w:val="21"/>
        </w:rPr>
      </w:pPr>
      <w:r>
        <w:rPr>
          <w:rFonts w:hint="eastAsia" w:ascii="微软雅黑" w:hAnsi="微软雅黑" w:eastAsia="微软雅黑" w:cs="微软雅黑"/>
          <w:b/>
          <w:color w:val="auto"/>
          <w:sz w:val="21"/>
          <w:szCs w:val="21"/>
        </w:rPr>
        <w:t>除以上培训外，在质保期内乙方应甲方要求提供2次现场培训服务，甲方应提前2周提出需求，双方提前沟通达成一致，如甲方未提出或甲方原因导致不能进行培训，则视同为甲方放弃此次培训需求。</w:t>
      </w:r>
    </w:p>
    <w:p w14:paraId="4762ED7C">
      <w:pPr>
        <w:spacing w:line="240" w:lineRule="atLeast"/>
        <w:rPr>
          <w:rFonts w:hint="eastAsia" w:ascii="微软雅黑" w:hAnsi="微软雅黑" w:eastAsia="微软雅黑" w:cs="微软雅黑"/>
          <w:b/>
          <w:color w:val="auto"/>
          <w:sz w:val="21"/>
          <w:szCs w:val="21"/>
        </w:rPr>
      </w:pPr>
    </w:p>
    <w:p w14:paraId="62457FA5">
      <w:pPr>
        <w:spacing w:line="240" w:lineRule="atLeast"/>
        <w:outlineLvl w:val="0"/>
        <w:rPr>
          <w:rFonts w:hint="eastAsia" w:ascii="微软雅黑" w:hAnsi="微软雅黑" w:eastAsia="微软雅黑" w:cs="微软雅黑"/>
          <w:bCs/>
          <w:color w:val="auto"/>
          <w:sz w:val="21"/>
          <w:szCs w:val="21"/>
        </w:rPr>
      </w:pPr>
      <w:bookmarkStart w:id="24" w:name="_Toc24778"/>
      <w:r>
        <w:rPr>
          <w:rFonts w:hint="eastAsia" w:ascii="微软雅黑" w:hAnsi="微软雅黑" w:eastAsia="微软雅黑" w:cs="微软雅黑"/>
          <w:b/>
          <w:color w:val="auto"/>
          <w:sz w:val="21"/>
          <w:szCs w:val="21"/>
        </w:rPr>
        <w:t>十</w:t>
      </w:r>
      <w:r>
        <w:rPr>
          <w:rFonts w:hint="eastAsia" w:ascii="微软雅黑" w:hAnsi="微软雅黑" w:eastAsia="微软雅黑" w:cs="微软雅黑"/>
          <w:b/>
          <w:color w:val="auto"/>
          <w:sz w:val="21"/>
          <w:szCs w:val="21"/>
          <w:lang w:val="en-US" w:eastAsia="zh-CN"/>
        </w:rPr>
        <w:t>三</w:t>
      </w:r>
      <w:r>
        <w:rPr>
          <w:rFonts w:hint="eastAsia" w:ascii="微软雅黑" w:hAnsi="微软雅黑" w:eastAsia="微软雅黑" w:cs="微软雅黑"/>
          <w:b/>
          <w:color w:val="auto"/>
          <w:sz w:val="21"/>
          <w:szCs w:val="21"/>
        </w:rPr>
        <w:t>、</w:t>
      </w:r>
      <w:r>
        <w:rPr>
          <w:rStyle w:val="28"/>
          <w:rFonts w:hint="eastAsia" w:ascii="微软雅黑" w:hAnsi="微软雅黑" w:eastAsia="微软雅黑" w:cs="微软雅黑"/>
          <w:color w:val="auto"/>
          <w:sz w:val="21"/>
          <w:szCs w:val="21"/>
        </w:rPr>
        <w:t>设备资料数量和语言要求</w:t>
      </w:r>
      <w:r>
        <w:rPr>
          <w:rFonts w:hint="eastAsia" w:ascii="微软雅黑" w:hAnsi="微软雅黑" w:eastAsia="微软雅黑" w:cs="微软雅黑"/>
          <w:b/>
          <w:color w:val="auto"/>
          <w:sz w:val="21"/>
          <w:szCs w:val="21"/>
        </w:rPr>
        <w:t>：</w:t>
      </w:r>
      <w:bookmarkEnd w:id="24"/>
      <w:r>
        <w:rPr>
          <w:rFonts w:hint="eastAsia" w:ascii="微软雅黑" w:hAnsi="微软雅黑" w:eastAsia="微软雅黑" w:cs="微软雅黑"/>
          <w:bCs/>
          <w:color w:val="auto"/>
          <w:sz w:val="21"/>
          <w:szCs w:val="21"/>
        </w:rPr>
        <w:t xml:space="preserve"> </w:t>
      </w:r>
    </w:p>
    <w:tbl>
      <w:tblPr>
        <w:tblStyle w:val="20"/>
        <w:tblW w:w="1049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8676"/>
        <w:gridCol w:w="1105"/>
      </w:tblGrid>
      <w:tr w14:paraId="28BC3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top"/>
          </w:tcPr>
          <w:p w14:paraId="6DDA5DFB">
            <w:pPr>
              <w:spacing w:line="240" w:lineRule="atLeast"/>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序号</w:t>
            </w:r>
          </w:p>
        </w:tc>
        <w:tc>
          <w:tcPr>
            <w:tcW w:w="8676" w:type="dxa"/>
            <w:noWrap w:val="0"/>
            <w:vAlign w:val="top"/>
          </w:tcPr>
          <w:p w14:paraId="4704BA41">
            <w:pPr>
              <w:spacing w:line="240" w:lineRule="atLeast"/>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详细要求</w:t>
            </w:r>
          </w:p>
        </w:tc>
        <w:tc>
          <w:tcPr>
            <w:tcW w:w="1105" w:type="dxa"/>
            <w:noWrap w:val="0"/>
            <w:vAlign w:val="top"/>
          </w:tcPr>
          <w:p w14:paraId="11EC7D56">
            <w:pPr>
              <w:spacing w:line="240" w:lineRule="atLeast"/>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性质：一般</w:t>
            </w:r>
          </w:p>
        </w:tc>
      </w:tr>
      <w:tr w14:paraId="3811E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14:paraId="02D09735">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w:t>
            </w:r>
          </w:p>
        </w:tc>
        <w:tc>
          <w:tcPr>
            <w:tcW w:w="8676" w:type="dxa"/>
            <w:noWrap w:val="0"/>
            <w:vAlign w:val="top"/>
          </w:tcPr>
          <w:p w14:paraId="1006A7FE">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乙方提供给甲方的设备资料：数量</w:t>
            </w:r>
            <w:r>
              <w:rPr>
                <w:rFonts w:hint="eastAsia" w:ascii="微软雅黑" w:hAnsi="微软雅黑" w:eastAsia="微软雅黑" w:cs="微软雅黑"/>
                <w:color w:val="auto"/>
                <w:sz w:val="21"/>
                <w:szCs w:val="21"/>
                <w:u w:val="single"/>
              </w:rPr>
              <w:t xml:space="preserve">  2  </w:t>
            </w:r>
            <w:r>
              <w:rPr>
                <w:rFonts w:hint="eastAsia" w:ascii="微软雅黑" w:hAnsi="微软雅黑" w:eastAsia="微软雅黑" w:cs="微软雅黑"/>
                <w:color w:val="auto"/>
                <w:sz w:val="21"/>
                <w:szCs w:val="21"/>
              </w:rPr>
              <w:t>套。在安装期间如有变更，则需要在正式验收之前将更改后的图纸资料提供到位。设备资料和标识使用语言为：</w:t>
            </w:r>
            <w:r>
              <w:rPr>
                <w:rFonts w:hint="eastAsia" w:ascii="微软雅黑" w:hAnsi="微软雅黑" w:eastAsia="微软雅黑" w:cs="微软雅黑"/>
                <w:color w:val="auto"/>
                <w:sz w:val="21"/>
                <w:szCs w:val="21"/>
                <w:u w:val="single"/>
              </w:rPr>
              <w:t xml:space="preserve">  中文  </w:t>
            </w:r>
            <w:r>
              <w:rPr>
                <w:rFonts w:hint="eastAsia" w:ascii="微软雅黑" w:hAnsi="微软雅黑" w:eastAsia="微软雅黑" w:cs="微软雅黑"/>
                <w:color w:val="auto"/>
                <w:sz w:val="21"/>
                <w:szCs w:val="21"/>
              </w:rPr>
              <w:t xml:space="preserve"> 。（如非中文，则乙方需同时提供一套中文翻译件）。</w:t>
            </w:r>
          </w:p>
          <w:p w14:paraId="47C3EFF7">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具体应包括以下：</w:t>
            </w:r>
          </w:p>
          <w:p w14:paraId="19A7F56B">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 设备平面布局图：要求列明能源需求（具体位置和容量），如果需要甲方做土建工程，则同时提供土建工程图纸和要求。该部分在 </w:t>
            </w:r>
            <w:r>
              <w:rPr>
                <w:rFonts w:hint="eastAsia" w:ascii="微软雅黑" w:hAnsi="微软雅黑" w:eastAsia="微软雅黑" w:cs="微软雅黑"/>
                <w:color w:val="auto"/>
                <w:sz w:val="21"/>
                <w:szCs w:val="21"/>
                <w:u w:val="single"/>
              </w:rPr>
              <w:t xml:space="preserve">  签订合同生效后30天内  </w:t>
            </w:r>
            <w:r>
              <w:rPr>
                <w:rFonts w:hint="eastAsia" w:ascii="微软雅黑" w:hAnsi="微软雅黑" w:eastAsia="微软雅黑" w:cs="微软雅黑"/>
                <w:color w:val="auto"/>
                <w:sz w:val="21"/>
                <w:szCs w:val="21"/>
              </w:rPr>
              <w:t xml:space="preserve"> 提供。</w:t>
            </w:r>
          </w:p>
          <w:p w14:paraId="3F871885">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 设备使用说明书：内容包括设备操作步骤，设备各部分功能介绍，设备使用和安全注意事项，润滑图（润滑要求），维护保养要求等</w:t>
            </w:r>
          </w:p>
          <w:p w14:paraId="5CBF0C6B">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 设备外购件：要求有外购件明细表（包括部件名称，规格型号或定货专用号，供应商，等）。对于复杂的外购件（如伺服控制器，变频器， 计量泵，….等），还要求有外购件的随机资料（说明书）。</w:t>
            </w:r>
          </w:p>
          <w:p w14:paraId="694FDB2F">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 设备软件资料：设备上电脑的软件备份，伺服控制器设置参数，变频器设置参数，条码器设置参数，储存在软盘（光盘）中的PLC程序和触摸屏程序等。</w:t>
            </w:r>
          </w:p>
          <w:p w14:paraId="5CFD9A89">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 设备图纸资料：电气原理图，液压原理图，气动原理图等。</w:t>
            </w:r>
          </w:p>
          <w:p w14:paraId="07AD61A4">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6 计量测试仪器，需要提供合格证和随机附带的说明书。</w:t>
            </w:r>
          </w:p>
          <w:p w14:paraId="582A0361">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7 设备应急预案：设备在各种异常情况下的各种风险和问题、辨识方法、处理方案。</w:t>
            </w:r>
          </w:p>
        </w:tc>
        <w:tc>
          <w:tcPr>
            <w:tcW w:w="1105" w:type="dxa"/>
            <w:noWrap w:val="0"/>
            <w:vAlign w:val="center"/>
          </w:tcPr>
          <w:p w14:paraId="11A9E96C">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一般</w:t>
            </w:r>
          </w:p>
        </w:tc>
      </w:tr>
      <w:tr w14:paraId="6E75A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14:paraId="62A3EB79">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w:t>
            </w:r>
          </w:p>
        </w:tc>
        <w:tc>
          <w:tcPr>
            <w:tcW w:w="8676" w:type="dxa"/>
            <w:noWrap w:val="0"/>
            <w:vAlign w:val="top"/>
          </w:tcPr>
          <w:p w14:paraId="7DBAE92F">
            <w:pPr>
              <w:spacing w:line="240" w:lineRule="atLeas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设备和设备资料所使用的语言为：中文</w:t>
            </w:r>
          </w:p>
        </w:tc>
        <w:tc>
          <w:tcPr>
            <w:tcW w:w="1105" w:type="dxa"/>
            <w:noWrap w:val="0"/>
            <w:vAlign w:val="center"/>
          </w:tcPr>
          <w:p w14:paraId="60D5772A">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一般</w:t>
            </w:r>
          </w:p>
        </w:tc>
      </w:tr>
    </w:tbl>
    <w:p w14:paraId="1692784E">
      <w:pPr>
        <w:spacing w:line="240" w:lineRule="atLeast"/>
        <w:rPr>
          <w:rFonts w:hint="eastAsia" w:ascii="微软雅黑" w:hAnsi="微软雅黑" w:eastAsia="微软雅黑" w:cs="微软雅黑"/>
          <w:b/>
          <w:color w:val="auto"/>
          <w:sz w:val="21"/>
          <w:szCs w:val="21"/>
        </w:rPr>
      </w:pPr>
    </w:p>
    <w:p w14:paraId="3130ED79">
      <w:pPr>
        <w:spacing w:line="240" w:lineRule="atLeast"/>
        <w:outlineLvl w:val="0"/>
        <w:rPr>
          <w:rFonts w:hint="eastAsia" w:ascii="微软雅黑" w:hAnsi="微软雅黑" w:eastAsia="微软雅黑" w:cs="微软雅黑"/>
          <w:color w:val="auto"/>
          <w:sz w:val="21"/>
          <w:szCs w:val="21"/>
        </w:rPr>
      </w:pPr>
      <w:bookmarkStart w:id="25" w:name="_Toc31063"/>
      <w:r>
        <w:rPr>
          <w:rFonts w:hint="eastAsia" w:ascii="微软雅黑" w:hAnsi="微软雅黑" w:eastAsia="微软雅黑" w:cs="微软雅黑"/>
          <w:b/>
          <w:color w:val="auto"/>
          <w:sz w:val="21"/>
          <w:szCs w:val="21"/>
        </w:rPr>
        <w:t>十</w:t>
      </w:r>
      <w:r>
        <w:rPr>
          <w:rFonts w:hint="eastAsia" w:ascii="微软雅黑" w:hAnsi="微软雅黑" w:eastAsia="微软雅黑" w:cs="微软雅黑"/>
          <w:b/>
          <w:color w:val="auto"/>
          <w:sz w:val="21"/>
          <w:szCs w:val="21"/>
          <w:lang w:val="en-US" w:eastAsia="zh-CN"/>
        </w:rPr>
        <w:t>四</w:t>
      </w:r>
      <w:r>
        <w:rPr>
          <w:rFonts w:hint="eastAsia" w:ascii="微软雅黑" w:hAnsi="微软雅黑" w:eastAsia="微软雅黑" w:cs="微软雅黑"/>
          <w:b/>
          <w:color w:val="auto"/>
          <w:sz w:val="21"/>
          <w:szCs w:val="21"/>
        </w:rPr>
        <w:t>、</w:t>
      </w:r>
      <w:r>
        <w:rPr>
          <w:rStyle w:val="28"/>
          <w:rFonts w:hint="eastAsia" w:ascii="微软雅黑" w:hAnsi="微软雅黑" w:eastAsia="微软雅黑" w:cs="微软雅黑"/>
          <w:color w:val="auto"/>
          <w:sz w:val="21"/>
          <w:szCs w:val="21"/>
        </w:rPr>
        <w:t>设备以往存在的问题，改进提升要求</w:t>
      </w:r>
      <w:r>
        <w:rPr>
          <w:rFonts w:hint="eastAsia" w:ascii="微软雅黑" w:hAnsi="微软雅黑" w:eastAsia="微软雅黑" w:cs="微软雅黑"/>
          <w:b/>
          <w:color w:val="auto"/>
          <w:sz w:val="21"/>
          <w:szCs w:val="21"/>
        </w:rPr>
        <w:t>：</w:t>
      </w:r>
      <w:bookmarkEnd w:id="25"/>
    </w:p>
    <w:p w14:paraId="430790D4">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投标方需在投标文件中单独列明：过往钢结构车间 AGV 无线项目常见故障点、本次项目针对性优化方案（如金属反射抑制、多 AGV 并发漫游优化、强电磁干扰防护措施）。</w:t>
      </w:r>
    </w:p>
    <w:p w14:paraId="333ED7DC">
      <w:pPr>
        <w:spacing w:line="240" w:lineRule="atLeast"/>
        <w:outlineLvl w:val="0"/>
        <w:rPr>
          <w:rFonts w:hint="eastAsia" w:ascii="微软雅黑" w:hAnsi="微软雅黑" w:eastAsia="微软雅黑" w:cs="微软雅黑"/>
          <w:b/>
          <w:color w:val="auto"/>
          <w:sz w:val="21"/>
          <w:szCs w:val="21"/>
        </w:rPr>
      </w:pPr>
      <w:bookmarkStart w:id="26" w:name="_Toc21527"/>
      <w:r>
        <w:rPr>
          <w:rFonts w:hint="eastAsia" w:ascii="微软雅黑" w:hAnsi="微软雅黑" w:eastAsia="微软雅黑" w:cs="微软雅黑"/>
          <w:b/>
          <w:color w:val="auto"/>
          <w:sz w:val="21"/>
          <w:szCs w:val="21"/>
        </w:rPr>
        <w:t>十</w:t>
      </w:r>
      <w:r>
        <w:rPr>
          <w:rFonts w:hint="eastAsia" w:ascii="微软雅黑" w:hAnsi="微软雅黑" w:eastAsia="微软雅黑" w:cs="微软雅黑"/>
          <w:b/>
          <w:color w:val="auto"/>
          <w:sz w:val="21"/>
          <w:szCs w:val="21"/>
          <w:lang w:val="en-US" w:eastAsia="zh-CN"/>
        </w:rPr>
        <w:t>五</w:t>
      </w:r>
      <w:r>
        <w:rPr>
          <w:rFonts w:hint="eastAsia" w:ascii="微软雅黑" w:hAnsi="微软雅黑" w:eastAsia="微软雅黑" w:cs="微软雅黑"/>
          <w:b/>
          <w:color w:val="auto"/>
          <w:sz w:val="21"/>
          <w:szCs w:val="21"/>
        </w:rPr>
        <w:t>、</w:t>
      </w:r>
      <w:r>
        <w:rPr>
          <w:rStyle w:val="28"/>
          <w:rFonts w:hint="eastAsia" w:ascii="微软雅黑" w:hAnsi="微软雅黑" w:eastAsia="微软雅黑" w:cs="微软雅黑"/>
          <w:color w:val="auto"/>
          <w:sz w:val="21"/>
          <w:szCs w:val="21"/>
        </w:rPr>
        <w:t>设备验收</w:t>
      </w:r>
      <w:r>
        <w:rPr>
          <w:rFonts w:hint="eastAsia" w:ascii="微软雅黑" w:hAnsi="微软雅黑" w:eastAsia="微软雅黑" w:cs="微软雅黑"/>
          <w:b/>
          <w:color w:val="auto"/>
          <w:sz w:val="21"/>
          <w:szCs w:val="21"/>
        </w:rPr>
        <w:t>：</w:t>
      </w:r>
      <w:bookmarkEnd w:id="26"/>
    </w:p>
    <w:p w14:paraId="653407B4">
      <w:pP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A 设备验收时间：</w:t>
      </w:r>
    </w:p>
    <w:p w14:paraId="39B1B2FD">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初验收：设备安装、布线、基础配置完成，单车 AGV 全线跑通；</w:t>
      </w:r>
    </w:p>
    <w:p w14:paraId="7CF5E5B3">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试运行：系统连续稳定运行 1 个月，多台 AGV 常态化生产作业；</w:t>
      </w:r>
    </w:p>
    <w:p w14:paraId="2277471B">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终验收：试运行无无线故障、全部资料 / 备件 / 培训到位，双方签署正式验收单。</w:t>
      </w:r>
    </w:p>
    <w:p w14:paraId="628677ED">
      <w:pPr>
        <w:spacing w:line="240" w:lineRule="atLeast"/>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B 设备验收标准：</w:t>
      </w:r>
    </w:p>
    <w:p w14:paraId="78C9AA3B">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全部满足本文件第 2、3 章节无线硬件、覆盖、漫游量化指标；</w:t>
      </w:r>
    </w:p>
    <w:p w14:paraId="6D9B416A">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试运行周期内因无线问题造成 AGV 停机、卡顿故障，乙方 7 日内完成整改，整改后重新计算试运行周期；</w:t>
      </w:r>
    </w:p>
    <w:p w14:paraId="514462E4">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全套竣工资料、备件、培训全部交付完成；</w:t>
      </w:r>
    </w:p>
    <w:p w14:paraId="1DD9BD09">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验收不合格项乙方 7 日内完成整改，逾期按合同违约条款扣款。</w:t>
      </w:r>
    </w:p>
    <w:p w14:paraId="2AA02C9B">
      <w:pP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C 双方对设备验收结果书面签字确认验收结论，详见验收BOM（验收单）。</w:t>
      </w:r>
    </w:p>
    <w:p w14:paraId="0499E1B9">
      <w:pP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D 设备正式验收时，如有与双方约定的技术标准不符合或存在瑕疵的，乙方有义务在  7  日内进行整改符合要求或者调换成合格产品。如未在约定时间内完成的，按照乙方供应商逾期交付货物条款追究违约责任。</w:t>
      </w:r>
    </w:p>
    <w:p w14:paraId="7D93E15F">
      <w:pPr>
        <w:spacing w:line="240" w:lineRule="atLeast"/>
        <w:rPr>
          <w:rFonts w:hint="eastAsia" w:ascii="微软雅黑" w:hAnsi="微软雅黑" w:eastAsia="微软雅黑" w:cs="微软雅黑"/>
          <w:b/>
          <w:color w:val="auto"/>
          <w:sz w:val="21"/>
          <w:szCs w:val="21"/>
        </w:rPr>
      </w:pPr>
    </w:p>
    <w:p w14:paraId="116BC850">
      <w:pPr>
        <w:spacing w:line="240" w:lineRule="atLeast"/>
        <w:outlineLvl w:val="0"/>
        <w:rPr>
          <w:rFonts w:hint="eastAsia" w:ascii="微软雅黑" w:hAnsi="微软雅黑" w:eastAsia="微软雅黑" w:cs="微软雅黑"/>
          <w:b/>
          <w:color w:val="auto"/>
          <w:sz w:val="21"/>
          <w:szCs w:val="21"/>
        </w:rPr>
      </w:pPr>
      <w:bookmarkStart w:id="27" w:name="_Toc12305"/>
      <w:r>
        <w:rPr>
          <w:rFonts w:hint="eastAsia" w:ascii="微软雅黑" w:hAnsi="微软雅黑" w:eastAsia="微软雅黑" w:cs="微软雅黑"/>
          <w:b/>
          <w:color w:val="auto"/>
          <w:sz w:val="21"/>
          <w:szCs w:val="21"/>
        </w:rPr>
        <w:t>十</w:t>
      </w:r>
      <w:r>
        <w:rPr>
          <w:rFonts w:hint="eastAsia" w:ascii="微软雅黑" w:hAnsi="微软雅黑" w:eastAsia="微软雅黑" w:cs="微软雅黑"/>
          <w:b/>
          <w:color w:val="auto"/>
          <w:sz w:val="21"/>
          <w:szCs w:val="21"/>
          <w:lang w:val="en-US" w:eastAsia="zh-CN"/>
        </w:rPr>
        <w:t>六</w:t>
      </w:r>
      <w:r>
        <w:rPr>
          <w:rFonts w:hint="eastAsia" w:ascii="微软雅黑" w:hAnsi="微软雅黑" w:eastAsia="微软雅黑" w:cs="微软雅黑"/>
          <w:b/>
          <w:color w:val="auto"/>
          <w:sz w:val="21"/>
          <w:szCs w:val="21"/>
        </w:rPr>
        <w:t>、</w:t>
      </w:r>
      <w:r>
        <w:rPr>
          <w:rStyle w:val="28"/>
          <w:rFonts w:hint="eastAsia" w:ascii="微软雅黑" w:hAnsi="微软雅黑" w:eastAsia="微软雅黑" w:cs="微软雅黑"/>
          <w:color w:val="auto"/>
          <w:sz w:val="21"/>
          <w:szCs w:val="21"/>
        </w:rPr>
        <w:t>设备质保要求</w:t>
      </w:r>
      <w:r>
        <w:rPr>
          <w:rFonts w:hint="eastAsia" w:ascii="微软雅黑" w:hAnsi="微软雅黑" w:eastAsia="微软雅黑" w:cs="微软雅黑"/>
          <w:b/>
          <w:color w:val="auto"/>
          <w:sz w:val="21"/>
          <w:szCs w:val="21"/>
        </w:rPr>
        <w:t>（有维保要求的按照《设备采购项目由原厂家维保时具体签约要求》结合十年服务要求完善）</w:t>
      </w:r>
      <w:bookmarkEnd w:id="27"/>
    </w:p>
    <w:tbl>
      <w:tblPr>
        <w:tblStyle w:val="20"/>
        <w:tblW w:w="1049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5"/>
        <w:gridCol w:w="8222"/>
        <w:gridCol w:w="1134"/>
      </w:tblGrid>
      <w:tr w14:paraId="4D5DA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noWrap w:val="0"/>
            <w:vAlign w:val="top"/>
          </w:tcPr>
          <w:p w14:paraId="42D2751D">
            <w:pPr>
              <w:rPr>
                <w:rFonts w:hint="eastAsia" w:ascii="微软雅黑" w:hAnsi="微软雅黑" w:eastAsia="微软雅黑" w:cs="微软雅黑"/>
                <w:color w:val="auto"/>
                <w:sz w:val="21"/>
                <w:szCs w:val="21"/>
              </w:rPr>
            </w:pPr>
          </w:p>
        </w:tc>
        <w:tc>
          <w:tcPr>
            <w:tcW w:w="8222" w:type="dxa"/>
            <w:noWrap w:val="0"/>
            <w:vAlign w:val="top"/>
          </w:tcPr>
          <w:p w14:paraId="7E40A6DA">
            <w:pPr>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标准要求 </w:t>
            </w:r>
          </w:p>
        </w:tc>
        <w:tc>
          <w:tcPr>
            <w:tcW w:w="1134" w:type="dxa"/>
            <w:noWrap w:val="0"/>
            <w:vAlign w:val="center"/>
          </w:tcPr>
          <w:p w14:paraId="7C87975B">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备注</w:t>
            </w:r>
          </w:p>
        </w:tc>
      </w:tr>
      <w:tr w14:paraId="69599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noWrap w:val="0"/>
            <w:vAlign w:val="top"/>
          </w:tcPr>
          <w:p w14:paraId="544F0C37">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设备论证阶段</w:t>
            </w:r>
          </w:p>
        </w:tc>
        <w:tc>
          <w:tcPr>
            <w:tcW w:w="8222" w:type="dxa"/>
            <w:noWrap w:val="0"/>
            <w:vAlign w:val="top"/>
          </w:tcPr>
          <w:p w14:paraId="2435417E">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供应商在项目正式招标前，针对我方的生产需求，提供技术方案，并提供行业内的先进技术， 协助我方确定最终的技术方案。  </w:t>
            </w:r>
          </w:p>
        </w:tc>
        <w:tc>
          <w:tcPr>
            <w:tcW w:w="1134" w:type="dxa"/>
            <w:noWrap w:val="0"/>
            <w:vAlign w:val="center"/>
          </w:tcPr>
          <w:p w14:paraId="22FF324D">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w:t>
            </w:r>
          </w:p>
        </w:tc>
      </w:tr>
      <w:tr w14:paraId="38085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trPr>
        <w:tc>
          <w:tcPr>
            <w:tcW w:w="1135" w:type="dxa"/>
            <w:noWrap w:val="0"/>
            <w:vAlign w:val="top"/>
          </w:tcPr>
          <w:p w14:paraId="16AEAF6B">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设备前2年</w:t>
            </w:r>
          </w:p>
        </w:tc>
        <w:tc>
          <w:tcPr>
            <w:tcW w:w="8222" w:type="dxa"/>
            <w:noWrap w:val="0"/>
            <w:vAlign w:val="top"/>
          </w:tcPr>
          <w:p w14:paraId="04BA4AC2">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一 设备的质保期为2年。质保金可第一年质保期结束后全部支付，第二年质保期由供应商出具质保承诺，如不提供服务时，甲方从该公司的其它未付款项中扣除。</w:t>
            </w:r>
          </w:p>
          <w:p w14:paraId="45E9D2F5">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二 供应商在各阶段必须提供的现场服务（含技术指导、现场培训）要求：</w:t>
            </w:r>
          </w:p>
          <w:p w14:paraId="4C549C65">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 设备试生产期间：</w:t>
            </w:r>
          </w:p>
          <w:p w14:paraId="0C7188B9">
            <w:pPr>
              <w:ind w:firstLine="420" w:firstLineChars="20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设备安装调试完成后，供应商必须安排1名或以上技术服务人员常驻甲方使用地点,,跟踪设备的使用，解决设备问题，直到设备符合验收标准（甲方不具备生产条件时除外）。</w:t>
            </w:r>
          </w:p>
          <w:p w14:paraId="51446DAF">
            <w:pPr>
              <w:ind w:firstLine="420" w:firstLineChars="20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但对于设备技术简单、运行可靠，且有成熟使用经验的非关键生产设备，供应商可不常驻技术服务人员在甲方现场，但接到问题通知后，供应商应24小时内解决。 </w:t>
            </w:r>
          </w:p>
          <w:p w14:paraId="3BE363F6">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 验收合格后供应商应当定期到甲方进行现场服务：</w:t>
            </w:r>
          </w:p>
          <w:p w14:paraId="2667E332">
            <w:pPr>
              <w:ind w:firstLine="420" w:firstLineChars="20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应甲方的要求，供应商同意： 第一年，免费安排技术人员来现场进行服务4次（每季度一次），每次时间不少于2天。第2年，供应商安排技术人员来现场进行服务4次（每季度1次），每次时间不少于2天。甲方未向供应商提出时，视同为放弃。</w:t>
            </w:r>
          </w:p>
          <w:p w14:paraId="36E62E00">
            <w:pPr>
              <w:ind w:firstLine="420" w:firstLineChars="20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现场服务内容：对甲方工厂内其设备的运行状况检查并出具检查报告，解决设备疑难故障处理，指导培训设备的使用和维保，设备提效优化方案制定等。</w:t>
            </w:r>
          </w:p>
          <w:p w14:paraId="501BA194">
            <w:pPr>
              <w:ind w:firstLine="420" w:firstLineChars="20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但对于设备技术简单、运行可靠，且甲方有成熟使用经验的非关键生产设备（比如冷水机，模温机等），可约定每年一次由供应商提供现场服务。</w:t>
            </w:r>
          </w:p>
          <w:p w14:paraId="77CC7F85">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 质保期内的故障维修服务：供应商必须在设备的使用国内设置服务联络人员和联系电话，在接到甲方的故障信息后，工作时间2小时内（无论如何不超过12小时内）必须及时提供维修指导或远程协助维修。对于重大故障以及正常工作24小时内不能解决的故障，供应商必须派人到现场维修。</w:t>
            </w:r>
          </w:p>
          <w:p w14:paraId="6DA926E9">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违约扣款约定：</w:t>
            </w:r>
          </w:p>
          <w:p w14:paraId="49DAD684">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1 服务人员服务缺勤扣款： 供应商未按照合同约定安排技术人员到甲方进行现场服务，每少1天，扣款100元人民币。 </w:t>
            </w:r>
          </w:p>
          <w:p w14:paraId="6F03E67E">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 供应商没有按照约定在验收合格后提供现场服务：每少1次，扣款5000元人民币。</w:t>
            </w:r>
          </w:p>
          <w:p w14:paraId="0BE2D66A">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 对于设备故障维修服务：供应商应该到现场维修却不到现场维修的，每次扣款10000元人民币。</w:t>
            </w:r>
          </w:p>
          <w:p w14:paraId="3DA71E18">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三 质保期内的备件（包括设备上的各种部件，但是设备正常使用的消耗品除外）：</w:t>
            </w:r>
          </w:p>
          <w:p w14:paraId="22B9F776">
            <w:pPr>
              <w:ind w:firstLine="420" w:firstLineChars="20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质保期内的备件，全部由供应商提供，但因甲方人为原因损坏的备件和消耗品除外。设备正常使用的消耗品不属于备件，但供应商必须在签约时提出消耗品的明细。</w:t>
            </w:r>
          </w:p>
          <w:p w14:paraId="52766C33">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四 设备培训要求：</w:t>
            </w:r>
          </w:p>
          <w:p w14:paraId="36E55F91">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 在设备安装调试完成试生产时，供应商对甲方的设备技术人员（设备管理人员、设备维修工）进行免费的设备技术和维修技能培训，对甲方的操作工进行设备操作和维保的培训，并提供培训资料或技术资料，专门培训的时间不少于1天。培训地点由甲方提供，接受培训的人员由甲方确定，培训时间由甲方在安装调试完成前向乙方提出，乙方安排技术人员准备好培训资料，并到甲方现场进行培训。</w:t>
            </w:r>
          </w:p>
          <w:p w14:paraId="120929CF">
            <w:pPr>
              <w:ind w:firstLine="420" w:firstLineChars="20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如乙方不同意或不按时对甲方的人员进行培训，视同为乙方违约。如甲方原因导致不能进行培训，则视同为甲方放弃此次培训需求。</w:t>
            </w:r>
          </w:p>
          <w:p w14:paraId="595A2C7E">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 设备使用第一年：</w:t>
            </w:r>
          </w:p>
          <w:p w14:paraId="283E2601">
            <w:pPr>
              <w:ind w:firstLine="420" w:firstLineChars="20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供应商同意免费对甲方人员进行两次现场培训： 对甲方的设备技术人员（设备管理人员，项目人员，维修工）进行设备技术和维修技术的培训，对操作工进行设备操作和维修的培训，提供相应的技术资料，并对甲方方的技术疑问进行解答。培训地点由甲方提供，人员由甲方确定，培训时间由甲方提前2周通知乙方，乙方安排人员到甲方进行培训。如乙方不同意或不按时对甲方的人员进行培训，视同为乙方违约。如甲方未提出或甲方原因导致不能进行培训，则视同为甲方放弃此次培训需求。</w:t>
            </w:r>
          </w:p>
          <w:p w14:paraId="450F2975">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 设备后期使用中（质保期外）：</w:t>
            </w:r>
          </w:p>
          <w:p w14:paraId="10511DAD">
            <w:pPr>
              <w:ind w:firstLine="420" w:firstLineChars="20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供应商同意免费对甲方人员进行一次现场培训（对甲方的设备技术人员（设备管理人员，项目人员，维修工）进行设备技术和维修技术的培训，对操作工进行设备操作和维修的培训，提供相应的技术资料，并对甲方方的技术疑问进行解答。培训地点由甲方提供，人员由甲方确定，培训时间由甲方提前2周通知乙方，乙方安排按时进行培训。如乙方不同意或不按时对甲方的人员进行培训，视同为乙方违约。如甲方未提出或甲方原因导致不能进行培训，则视同为甲方放弃此次培训需求。</w:t>
            </w:r>
          </w:p>
          <w:p w14:paraId="4A8CAD2D">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 甲方方技术人员到供应商时，乙方应免费提供一次培训。</w:t>
            </w:r>
          </w:p>
          <w:p w14:paraId="44020D15">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    当甲方方提出需在供应商公司内进行技术培训时，乙方同意免费对甲方的设备技术人员进行一次培训。甲方提前2周通知乙方培训需求，甲方未提出时，为甲方放弃。甲方人员到乙方现场的差旅费用由甲方承担。</w:t>
            </w:r>
          </w:p>
          <w:p w14:paraId="69368D7B">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五 对于供应商不能按合同约定提供技术服务的，甲方方为满足生产要求，无奈只能自行另行找其他供应商实施时，对设备供应商记录不良记录，并取消从事件发生之日起直到供应商恢复服务期间的所有项目中标权。和供应商恢复合作之前，供应商必须将原停止服务期间甲方找其它供应商的费用补偿，否则不予合作。</w:t>
            </w:r>
          </w:p>
        </w:tc>
        <w:tc>
          <w:tcPr>
            <w:tcW w:w="1134" w:type="dxa"/>
            <w:noWrap w:val="0"/>
            <w:vAlign w:val="center"/>
          </w:tcPr>
          <w:p w14:paraId="0DCAAF2B">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w:t>
            </w:r>
          </w:p>
        </w:tc>
      </w:tr>
      <w:tr w14:paraId="47820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1135" w:type="dxa"/>
            <w:noWrap w:val="0"/>
            <w:vAlign w:val="top"/>
          </w:tcPr>
          <w:p w14:paraId="465DFDA2">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设备随后三年</w:t>
            </w:r>
          </w:p>
        </w:tc>
        <w:tc>
          <w:tcPr>
            <w:tcW w:w="8222" w:type="dxa"/>
            <w:noWrap w:val="0"/>
            <w:vAlign w:val="top"/>
          </w:tcPr>
          <w:p w14:paraId="61DDFE6A">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设备随后三年为免费技术服务期（硬件由甲方提供），免费技术服务的具体要求如下：</w:t>
            </w:r>
          </w:p>
          <w:p w14:paraId="03FA4E70">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 供应商免费提供技术支持和维修指导，设备出现问题后，供应商首先进行电话指导维修，当超过24小时仍不能修复，甲方通知供应商到现场维修时，供应商应当按照甲方要求时间到现场进行服务。供应商服务时需要更换的硬件，由甲方提供（甲方承担费用）。 当设备维修或事故责任在于甲方方使用或保养不当导致的时，供应商人员的差旅费由甲方承担。当设备维修或事故责任是因为供应商的设备质量问题导致的时，供应商人员的差旅费由供应商自行承担。</w:t>
            </w:r>
          </w:p>
          <w:p w14:paraId="3CC40B6A">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 如果供应商不能按照甲方要求提供现场维修服务，或不能及时解决设备问题，视同为供应商不能履约，每次对供应商扣款1万元，从该供应商和甲方的业务未支付款中扣除。</w:t>
            </w:r>
          </w:p>
          <w:p w14:paraId="22819D2F">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 需要由供应商提供的备件，备件按照最低价格为甲方供货。如给甲方供货价格不是中国地区最低价格，供应商承诺愿意双倍返还差价。</w:t>
            </w:r>
          </w:p>
          <w:p w14:paraId="4307408D">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对于供应商不能提供技术服务的，甲方方为满足生产要求，无奈只能自行另行找其他供应商实施时，对设备供应商记录不良记录,并取消从事件发生之日起直到供应商恢复服务期间的所有项目中标权。和供应商恢复合作之前,供应商必须将原停止服务期间甲方找其它供应商的费用补偿，否则不予合作。</w:t>
            </w:r>
          </w:p>
        </w:tc>
        <w:tc>
          <w:tcPr>
            <w:tcW w:w="1134" w:type="dxa"/>
            <w:noWrap w:val="0"/>
            <w:vAlign w:val="center"/>
          </w:tcPr>
          <w:p w14:paraId="41562EFA">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质保期为1年的，其第二年按照此条款实施（改为四年的免费技术服务期）。</w:t>
            </w:r>
          </w:p>
        </w:tc>
      </w:tr>
      <w:tr w14:paraId="7488A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noWrap w:val="0"/>
            <w:vAlign w:val="top"/>
          </w:tcPr>
          <w:p w14:paraId="6505D274">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设备后5年</w:t>
            </w:r>
          </w:p>
        </w:tc>
        <w:tc>
          <w:tcPr>
            <w:tcW w:w="8222" w:type="dxa"/>
            <w:noWrap w:val="0"/>
            <w:vAlign w:val="top"/>
          </w:tcPr>
          <w:p w14:paraId="38A7126A">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供应商实行及时的技术服务。 </w:t>
            </w:r>
          </w:p>
          <w:p w14:paraId="0143D305">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 备件按照最低价格为其供货。如果供货价格不是中国最低价格，供应商承诺愿意双倍返还差价。</w:t>
            </w:r>
          </w:p>
          <w:p w14:paraId="5512F957">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 供应商在接到通知后，当天安排技术人员提供免费的电话技术指导，当电话指导无法解决问题时，供应商应按照甲方的要求，在48小时内安排人员到现场服务。此次服务如果需要收费，供应商应提前将收费标准告知，在确认收费标准后，供应商应首先来服务，服务完成后，再进行收费。（备注：如上次的服务费未支付，则另当别论）</w:t>
            </w:r>
          </w:p>
          <w:p w14:paraId="02B30CF9">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 供应商承诺对甲方收费是中国地区最低价格，如果不是，供应商承诺愿意双倍返还差价。</w:t>
            </w:r>
          </w:p>
          <w:p w14:paraId="73A94F5D">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 对于供应商拒绝提供技术服务的，甲方为满足生产要求，无奈只能自行另行找其他供应商实施时，对设备供应商记录不良记录，并取消从事件发生之日起直到供应商恢复服务期间的所有项目中标权。</w:t>
            </w:r>
          </w:p>
        </w:tc>
        <w:tc>
          <w:tcPr>
            <w:tcW w:w="1134" w:type="dxa"/>
            <w:noWrap w:val="0"/>
            <w:vAlign w:val="center"/>
          </w:tcPr>
          <w:p w14:paraId="5ED86572">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w:t>
            </w:r>
          </w:p>
        </w:tc>
      </w:tr>
      <w:tr w14:paraId="232FD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noWrap w:val="0"/>
            <w:vAlign w:val="top"/>
          </w:tcPr>
          <w:p w14:paraId="52FBF2EC">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设备大修改造</w:t>
            </w:r>
          </w:p>
        </w:tc>
        <w:tc>
          <w:tcPr>
            <w:tcW w:w="8222" w:type="dxa"/>
            <w:noWrap w:val="0"/>
            <w:vAlign w:val="top"/>
          </w:tcPr>
          <w:p w14:paraId="3A1A8E56">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甲方使用的设备寿命期内：</w:t>
            </w:r>
          </w:p>
          <w:p w14:paraId="0697FB01">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供应商提供大修改造的技术支持和技术指导，按照技术复杂程度和后果影响程度，分为供应商指导下甲方自行实施和由供应商实施两种方案。具体要求如下：</w:t>
            </w:r>
          </w:p>
          <w:p w14:paraId="318A4374">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 供应商在接到甲方的需求后，免费提供大修改造的技术支持和方案。</w:t>
            </w:r>
          </w:p>
          <w:p w14:paraId="5561F484">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 供应商同意如自己的系统或软件有了升级后，当其为甲方供货的设备不需要改造或更新硬件就能够升级时，可以免费为甲方进行升级。</w:t>
            </w:r>
          </w:p>
          <w:p w14:paraId="04C51ABF">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 甲方方负责判定技术复杂性和改造失败的后果影响： 对于技术简单的大修改造工作，由于此类工作不会对设备的整体技术性能和生产可靠性产生不利后果，此工作由甲方按照供应商的技术方案或指导自行实施。</w:t>
            </w:r>
          </w:p>
          <w:p w14:paraId="2A0A367A">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 对于技术非常复杂、对设备整体性能和可靠性会产生重大影响的大修改造工作，此类工作由设备供应商负责实施。设备供应商必须按照甲方的需求，制定详细的设备大修改造方案，并给予甲方合理的报价，以及合理的工期和实施计划。</w:t>
            </w:r>
          </w:p>
          <w:p w14:paraId="3DA899E8">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 对于供应商不支持甲方的大修改造，甲方方为满足生产要求，无奈只能自行另行找其他供应商实施时，对设备供应商记录不良记录，并取消从事件发生之日起直到供应商恢复服务期间的所有项目中标权。和供应商恢复合作之前，供应商必须将原停止服务期间甲方找其它供应商的费用补偿，否则不予合作。</w:t>
            </w:r>
          </w:p>
        </w:tc>
        <w:tc>
          <w:tcPr>
            <w:tcW w:w="1134" w:type="dxa"/>
            <w:noWrap w:val="0"/>
            <w:vAlign w:val="center"/>
          </w:tcPr>
          <w:p w14:paraId="67030BC3">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w:t>
            </w:r>
          </w:p>
        </w:tc>
      </w:tr>
      <w:tr w14:paraId="4D140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noWrap w:val="0"/>
            <w:vAlign w:val="top"/>
          </w:tcPr>
          <w:p w14:paraId="31B31C75">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设备搬迁</w:t>
            </w:r>
          </w:p>
        </w:tc>
        <w:tc>
          <w:tcPr>
            <w:tcW w:w="8222" w:type="dxa"/>
            <w:noWrap w:val="0"/>
            <w:vAlign w:val="top"/>
          </w:tcPr>
          <w:p w14:paraId="693E5AB0">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在甲方使用的设备寿命期内：</w:t>
            </w:r>
          </w:p>
          <w:p w14:paraId="7C4024C0">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供应提供设备搬迁的技术支持和技术指导，按照技术复杂程度和后果影响程度，分为甲方自行实施（按照供应商的指导）和由供应商实施两种方案。具体要求如下：</w:t>
            </w:r>
          </w:p>
          <w:p w14:paraId="5289C6A9">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 供应商在接到甲方的需求后，提供搬迁的技术支持、注意问题等。</w:t>
            </w:r>
          </w:p>
          <w:p w14:paraId="40F49B36">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 甲方方负责判定技术复杂性和失败的后果影响： 对于技术简单的设备的搬迁工作，由于此类工作不会对设备的整体技术性能和生产可靠性产生不利后果，此工作由甲方按照供应商的技术指导自行实施。</w:t>
            </w:r>
          </w:p>
          <w:p w14:paraId="269D549B">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 对于技术非常复杂、对设备整体性能和可靠性会产生重大影响的搬迁工作，此类工作由设备供应商负责现场技术指导并监护搬迁、以及搬迁后的调试工作。设备供应商必须按照甲方的需求，制定详细的设备搬迁工作计划以及搬迁后的调试方案。供应商给予甲方合理的报价。</w:t>
            </w:r>
          </w:p>
          <w:p w14:paraId="24D404AC">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 搬迁过程中，所需要用的搬迁施工队伍和工具车辆等（比如吊拉搬迁所需要的吊车、叉车、运输车辆、起重吊拉人员、机械电气帮工等），由甲方按照设备供应商的要求提供。</w:t>
            </w:r>
          </w:p>
          <w:p w14:paraId="3DCDACF5">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 对于供应商不支持甲方的业务,甲方方为满足生产要求，无奈只能自行另行找其他供应商实施时,对设备供应商记录不良记录,并取消从事件发生之日起直到供应商恢复服务期间的所有项目中标权。和供应商恢复合作之前,供应商必须将原停止服务期间甲方找其它供应商的费用补偿，否则不予合作。</w:t>
            </w:r>
          </w:p>
        </w:tc>
        <w:tc>
          <w:tcPr>
            <w:tcW w:w="1134" w:type="dxa"/>
            <w:noWrap w:val="0"/>
            <w:vAlign w:val="center"/>
          </w:tcPr>
          <w:p w14:paraId="1828D904">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w:t>
            </w:r>
          </w:p>
        </w:tc>
      </w:tr>
    </w:tbl>
    <w:p w14:paraId="36DE2A6F">
      <w:pPr>
        <w:rPr>
          <w:rFonts w:hint="eastAsia" w:ascii="微软雅黑" w:hAnsi="微软雅黑" w:eastAsia="微软雅黑" w:cs="微软雅黑"/>
          <w:b/>
          <w:color w:val="auto"/>
          <w:sz w:val="21"/>
          <w:szCs w:val="21"/>
        </w:rPr>
      </w:pPr>
    </w:p>
    <w:p w14:paraId="59ECC85E">
      <w:pPr>
        <w:numPr>
          <w:ilvl w:val="0"/>
          <w:numId w:val="0"/>
        </w:numPr>
        <w:ind w:left="0" w:leftChars="0" w:firstLine="0" w:firstLineChars="0"/>
        <w:outlineLvl w:val="0"/>
        <w:rPr>
          <w:rStyle w:val="28"/>
          <w:rFonts w:hint="eastAsia" w:ascii="微软雅黑" w:hAnsi="微软雅黑" w:eastAsia="微软雅黑" w:cs="微软雅黑"/>
          <w:color w:val="auto"/>
          <w:sz w:val="21"/>
          <w:szCs w:val="21"/>
        </w:rPr>
      </w:pPr>
      <w:bookmarkStart w:id="28" w:name="_Toc2854"/>
      <w:r>
        <w:rPr>
          <w:rFonts w:hint="eastAsia" w:ascii="微软雅黑" w:hAnsi="微软雅黑" w:eastAsia="微软雅黑" w:cs="微软雅黑"/>
          <w:b/>
          <w:color w:val="auto"/>
          <w:sz w:val="21"/>
          <w:szCs w:val="21"/>
          <w:lang w:val="en-US" w:eastAsia="zh-CN"/>
        </w:rPr>
        <w:t>十七、</w:t>
      </w:r>
      <w:r>
        <w:rPr>
          <w:rStyle w:val="28"/>
          <w:rFonts w:hint="eastAsia" w:ascii="微软雅黑" w:hAnsi="微软雅黑" w:eastAsia="微软雅黑" w:cs="微软雅黑"/>
          <w:color w:val="auto"/>
          <w:sz w:val="21"/>
          <w:szCs w:val="21"/>
        </w:rPr>
        <w:t>对于本次采购设备付款方式的特殊要求</w:t>
      </w:r>
      <w:bookmarkEnd w:id="28"/>
    </w:p>
    <w:p w14:paraId="0973DC26">
      <w:pPr>
        <w:numPr>
          <w:ilvl w:val="0"/>
          <w:numId w:val="0"/>
        </w:numPr>
        <w:rPr>
          <w:rFonts w:hint="eastAsia" w:ascii="微软雅黑" w:hAnsi="微软雅黑" w:eastAsia="微软雅黑" w:cs="微软雅黑"/>
          <w:bCs/>
          <w:color w:val="auto"/>
          <w:sz w:val="21"/>
          <w:szCs w:val="21"/>
        </w:rPr>
      </w:pPr>
      <w:r>
        <w:rPr>
          <w:rFonts w:hint="eastAsia" w:ascii="微软雅黑" w:hAnsi="微软雅黑" w:eastAsia="微软雅黑" w:cs="微软雅黑"/>
          <w:color w:val="auto"/>
          <w:sz w:val="21"/>
          <w:szCs w:val="21"/>
        </w:rPr>
        <w:t>按照甲方集团标准合同规定的付款方式</w:t>
      </w:r>
    </w:p>
    <w:p w14:paraId="11366F63">
      <w:pPr>
        <w:spacing w:line="240" w:lineRule="atLeast"/>
        <w:outlineLvl w:val="0"/>
        <w:rPr>
          <w:rFonts w:hint="eastAsia" w:ascii="微软雅黑" w:hAnsi="微软雅黑" w:eastAsia="微软雅黑" w:cs="微软雅黑"/>
          <w:b/>
          <w:color w:val="auto"/>
          <w:sz w:val="21"/>
          <w:szCs w:val="21"/>
        </w:rPr>
      </w:pPr>
      <w:bookmarkStart w:id="29" w:name="_Toc20938"/>
      <w:r>
        <w:rPr>
          <w:rFonts w:hint="eastAsia" w:ascii="微软雅黑" w:hAnsi="微软雅黑" w:eastAsia="微软雅黑" w:cs="微软雅黑"/>
          <w:b/>
          <w:bCs/>
          <w:color w:val="auto"/>
          <w:sz w:val="21"/>
          <w:szCs w:val="21"/>
        </w:rPr>
        <w:t>十</w:t>
      </w:r>
      <w:r>
        <w:rPr>
          <w:rFonts w:hint="eastAsia" w:ascii="微软雅黑" w:hAnsi="微软雅黑" w:eastAsia="微软雅黑" w:cs="微软雅黑"/>
          <w:b/>
          <w:bCs/>
          <w:color w:val="auto"/>
          <w:sz w:val="21"/>
          <w:szCs w:val="21"/>
          <w:lang w:val="en-US" w:eastAsia="zh-CN"/>
        </w:rPr>
        <w:t>八</w:t>
      </w:r>
      <w:r>
        <w:rPr>
          <w:rFonts w:hint="eastAsia" w:ascii="微软雅黑" w:hAnsi="微软雅黑" w:eastAsia="微软雅黑" w:cs="微软雅黑"/>
          <w:b/>
          <w:color w:val="auto"/>
          <w:sz w:val="21"/>
          <w:szCs w:val="21"/>
        </w:rPr>
        <w:t>、</w:t>
      </w:r>
      <w:r>
        <w:rPr>
          <w:rStyle w:val="28"/>
          <w:rFonts w:hint="eastAsia" w:ascii="微软雅黑" w:hAnsi="微软雅黑" w:eastAsia="微软雅黑" w:cs="微软雅黑"/>
          <w:color w:val="auto"/>
          <w:sz w:val="21"/>
          <w:szCs w:val="21"/>
        </w:rPr>
        <w:t>其他要求</w:t>
      </w:r>
      <w:bookmarkEnd w:id="29"/>
      <w:r>
        <w:rPr>
          <w:rFonts w:hint="eastAsia" w:ascii="微软雅黑" w:hAnsi="微软雅黑" w:eastAsia="微软雅黑" w:cs="微软雅黑"/>
          <w:b/>
          <w:color w:val="auto"/>
          <w:sz w:val="21"/>
          <w:szCs w:val="21"/>
        </w:rPr>
        <w:t xml:space="preserve"> </w:t>
      </w:r>
    </w:p>
    <w:tbl>
      <w:tblPr>
        <w:tblStyle w:val="20"/>
        <w:tblW w:w="1049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8647"/>
        <w:gridCol w:w="1134"/>
      </w:tblGrid>
      <w:tr w14:paraId="5903A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14:paraId="0A746565">
            <w:pPr>
              <w:spacing w:line="240" w:lineRule="atLeast"/>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序号</w:t>
            </w:r>
          </w:p>
        </w:tc>
        <w:tc>
          <w:tcPr>
            <w:tcW w:w="8647" w:type="dxa"/>
            <w:noWrap w:val="0"/>
            <w:vAlign w:val="center"/>
          </w:tcPr>
          <w:p w14:paraId="18237F46">
            <w:pPr>
              <w:spacing w:line="240" w:lineRule="atLeast"/>
              <w:jc w:val="left"/>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详细要求</w:t>
            </w:r>
          </w:p>
        </w:tc>
        <w:tc>
          <w:tcPr>
            <w:tcW w:w="1134" w:type="dxa"/>
            <w:noWrap w:val="0"/>
            <w:vAlign w:val="center"/>
          </w:tcPr>
          <w:p w14:paraId="6FB21BA7">
            <w:pPr>
              <w:spacing w:line="240" w:lineRule="atLeast"/>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性质：重要</w:t>
            </w:r>
          </w:p>
        </w:tc>
      </w:tr>
      <w:tr w14:paraId="0A990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14:paraId="07EA6626">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w:t>
            </w:r>
          </w:p>
        </w:tc>
        <w:tc>
          <w:tcPr>
            <w:tcW w:w="8647" w:type="dxa"/>
            <w:noWrap w:val="0"/>
            <w:vAlign w:val="center"/>
          </w:tcPr>
          <w:p w14:paraId="5646BF9D">
            <w:pPr>
              <w:spacing w:line="240" w:lineRule="atLeas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厂家提供设备安装前的要求：包括基建、水、电、气、汽参数要求</w:t>
            </w:r>
          </w:p>
        </w:tc>
        <w:tc>
          <w:tcPr>
            <w:tcW w:w="1134" w:type="dxa"/>
            <w:noWrap w:val="0"/>
            <w:vAlign w:val="center"/>
          </w:tcPr>
          <w:p w14:paraId="31B04C70">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w:t>
            </w:r>
          </w:p>
        </w:tc>
      </w:tr>
      <w:tr w14:paraId="49BD0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14:paraId="4CFA1F4B">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w:t>
            </w:r>
          </w:p>
        </w:tc>
        <w:tc>
          <w:tcPr>
            <w:tcW w:w="8647" w:type="dxa"/>
            <w:noWrap w:val="0"/>
            <w:vAlign w:val="center"/>
          </w:tcPr>
          <w:p w14:paraId="3D7054C1">
            <w:pPr>
              <w:spacing w:line="240" w:lineRule="atLeas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设备安装前期准备工作，由厂家提供详细的书面资料</w:t>
            </w:r>
          </w:p>
        </w:tc>
        <w:tc>
          <w:tcPr>
            <w:tcW w:w="1134" w:type="dxa"/>
            <w:noWrap w:val="0"/>
            <w:vAlign w:val="center"/>
          </w:tcPr>
          <w:p w14:paraId="06EB2B81">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w:t>
            </w:r>
          </w:p>
        </w:tc>
      </w:tr>
      <w:tr w14:paraId="6C8BE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710" w:type="dxa"/>
            <w:noWrap w:val="0"/>
            <w:vAlign w:val="center"/>
          </w:tcPr>
          <w:p w14:paraId="77B1581D">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w:t>
            </w:r>
          </w:p>
        </w:tc>
        <w:tc>
          <w:tcPr>
            <w:tcW w:w="8647" w:type="dxa"/>
            <w:noWrap w:val="0"/>
            <w:vAlign w:val="center"/>
          </w:tcPr>
          <w:p w14:paraId="7698E748">
            <w:pPr>
              <w:spacing w:line="240" w:lineRule="atLeas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设备在调试过程中厂家必须安排专人全程跟踪</w:t>
            </w:r>
          </w:p>
        </w:tc>
        <w:tc>
          <w:tcPr>
            <w:tcW w:w="1134" w:type="dxa"/>
            <w:noWrap w:val="0"/>
            <w:vAlign w:val="center"/>
          </w:tcPr>
          <w:p w14:paraId="6C982D68">
            <w:pPr>
              <w:spacing w:line="240" w:lineRule="atLeast"/>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重要</w:t>
            </w:r>
          </w:p>
        </w:tc>
      </w:tr>
    </w:tbl>
    <w:p w14:paraId="5CC03E06">
      <w:pPr>
        <w:tabs>
          <w:tab w:val="left" w:pos="1080"/>
        </w:tabs>
        <w:spacing w:line="240" w:lineRule="atLeast"/>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设备技术要求已经全部写出，未书面写出的，不做具体要求，只要不违背国家法律法规和行业内强制性规范即可。</w:t>
      </w:r>
    </w:p>
    <w:p w14:paraId="4DE16955">
      <w:pPr>
        <w:tabs>
          <w:tab w:val="left" w:pos="1080"/>
        </w:tabs>
        <w:spacing w:line="240" w:lineRule="atLeast"/>
        <w:rPr>
          <w:rFonts w:hint="eastAsia" w:ascii="微软雅黑" w:hAnsi="微软雅黑" w:eastAsia="微软雅黑" w:cs="微软雅黑"/>
          <w:color w:val="auto"/>
          <w:sz w:val="21"/>
          <w:szCs w:val="21"/>
        </w:rPr>
      </w:pPr>
    </w:p>
    <w:p w14:paraId="10D11391">
      <w:pPr>
        <w:tabs>
          <w:tab w:val="left" w:pos="1080"/>
        </w:tabs>
        <w:spacing w:line="240" w:lineRule="atLeast"/>
        <w:rPr>
          <w:rFonts w:hint="eastAsia" w:ascii="微软雅黑" w:hAnsi="微软雅黑" w:eastAsia="微软雅黑" w:cs="微软雅黑"/>
          <w:bCs/>
          <w:sz w:val="21"/>
          <w:szCs w:val="21"/>
        </w:rPr>
      </w:pPr>
      <w:r>
        <w:rPr>
          <w:rFonts w:hint="eastAsia" w:ascii="微软雅黑" w:hAnsi="微软雅黑" w:eastAsia="微软雅黑" w:cs="微软雅黑"/>
          <w:bCs/>
          <w:color w:val="auto"/>
          <w:sz w:val="21"/>
          <w:szCs w:val="21"/>
        </w:rPr>
        <w:t>编制：                        审核：                        会签：                      批准：</w:t>
      </w:r>
    </w:p>
    <w:sectPr>
      <w:pgSz w:w="11906" w:h="16838"/>
      <w:pgMar w:top="680" w:right="1134" w:bottom="680" w:left="1134" w:header="567" w:footer="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华文宋体">
    <w:altName w:val="宋体"/>
    <w:panose1 w:val="02010600040101010101"/>
    <w:charset w:val="00"/>
    <w:family w:val="auto"/>
    <w:pitch w:val="default"/>
    <w:sig w:usb0="00000000" w:usb1="00000000" w:usb2="00000000" w:usb3="00000000" w:csb0="0004009F" w:csb1="DFD70000"/>
  </w:font>
  <w:font w:name="华文细黑">
    <w:altName w:val="微软雅黑"/>
    <w:panose1 w:val="02010600040101010101"/>
    <w:charset w:val="00"/>
    <w:family w:val="auto"/>
    <w:pitch w:val="default"/>
    <w:sig w:usb0="00000000" w:usb1="00000000" w:usb2="00000000" w:usb3="00000000" w:csb0="0004009F" w:csb1="DFD70000"/>
  </w:font>
  <w:font w:name="微软雅黑">
    <w:panose1 w:val="020B0503020204020204"/>
    <w:charset w:val="86"/>
    <w:family w:val="swiss"/>
    <w:pitch w:val="default"/>
    <w:sig w:usb0="80000287" w:usb1="280F3C52"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A6CC0">
    <w:pPr>
      <w:pStyle w:val="14"/>
    </w:pPr>
  </w:p>
  <w:p w14:paraId="301CEE7B">
    <w:pPr>
      <w:pStyle w:val="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5E16CC">
                          <w:pPr>
                            <w:pStyle w:val="1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C1ufMgBAACZ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6GtKHLc48Mv3b5cfvy4/v5Jl&#10;lqcPUGPWQ8C8NNz5AZdm9gM6M+tBRZu/yIdgHMU9X8WVQyIiP1qv1usKQwJj8wXx2ePzECG9ld6S&#10;bDQ04vSKqPz0HtKYOqfkas7fa2PKBI37y4GY2cNy72OP2UrDfpgI7X17Rj49Dr6hDvecEvPOoa55&#10;R2YjzsZ+No4h6kNXlijXg3B7TNhE6S1XGGGnwjixwm7arrwSf95L1uMftf0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AtbnzIAQAAmQMAAA4AAAAAAAAAAQAgAAAAHgEAAGRycy9lMm9Eb2Mu&#10;eG1sUEsFBgAAAAAGAAYAWQEAAFgFAAAAAA==&#10;">
              <v:fill on="f" focussize="0,0"/>
              <v:stroke on="f"/>
              <v:imagedata o:title=""/>
              <o:lock v:ext="edit" aspectratio="f"/>
              <v:textbox inset="0mm,0mm,0mm,0mm" style="mso-fit-shape-to-text:t;">
                <w:txbxContent>
                  <w:p w14:paraId="1A5E16CC">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F7CB2"/>
  <w:p w14:paraId="55789F3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ACB23C"/>
    <w:multiLevelType w:val="singleLevel"/>
    <w:tmpl w:val="D0ACB23C"/>
    <w:lvl w:ilvl="0" w:tentative="0">
      <w:start w:val="1"/>
      <w:numFmt w:val="chineseCounting"/>
      <w:suff w:val="nothing"/>
      <w:lvlText w:val="%1、"/>
      <w:lvlJc w:val="left"/>
      <w:rPr>
        <w:rFonts w:hint="eastAsia"/>
      </w:rPr>
    </w:lvl>
  </w:abstractNum>
  <w:abstractNum w:abstractNumId="1">
    <w:nsid w:val="6C4D1122"/>
    <w:multiLevelType w:val="multilevel"/>
    <w:tmpl w:val="6C4D1122"/>
    <w:lvl w:ilvl="0" w:tentative="0">
      <w:start w:val="1"/>
      <w:numFmt w:val="lowerLetter"/>
      <w:pStyle w:val="50"/>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decimal"/>
      <w:lvlText w:val="%3."/>
      <w:lvlJc w:val="left"/>
      <w:pPr>
        <w:ind w:left="1200" w:hanging="360"/>
      </w:pPr>
      <w:rPr>
        <w:rFonts w:hint="default"/>
      </w:rPr>
    </w:lvl>
    <w:lvl w:ilvl="3" w:tentative="0">
      <w:start w:val="7"/>
      <w:numFmt w:val="japaneseCounting"/>
      <w:lvlText w:val="%4、"/>
      <w:lvlJc w:val="left"/>
      <w:pPr>
        <w:ind w:left="1710" w:hanging="450"/>
      </w:pPr>
      <w:rPr>
        <w:rFonts w:hint="default"/>
      </w:rPr>
    </w:lvl>
    <w:lvl w:ilvl="4" w:tentative="0">
      <w:start w:val="7"/>
      <w:numFmt w:val="japaneseCounting"/>
      <w:lvlText w:val="%5．"/>
      <w:lvlJc w:val="left"/>
      <w:pPr>
        <w:ind w:left="2130" w:hanging="450"/>
      </w:pPr>
      <w:rPr>
        <w:rFonts w:hint="default"/>
      </w:r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CB92187"/>
    <w:multiLevelType w:val="singleLevel"/>
    <w:tmpl w:val="7CB92187"/>
    <w:lvl w:ilvl="0" w:tentative="0">
      <w:start w:val="1"/>
      <w:numFmt w:val="upperLetter"/>
      <w:pStyle w:val="2"/>
      <w:lvlText w:val="%1．"/>
      <w:lvlJc w:val="left"/>
      <w:pPr>
        <w:tabs>
          <w:tab w:val="left" w:pos="1110"/>
        </w:tabs>
        <w:ind w:left="1110" w:hanging="510"/>
      </w:pPr>
    </w:lvl>
  </w:abstractNum>
  <w:num w:numId="1">
    <w:abstractNumId w:val="2"/>
    <w:lvlOverride w:ilvl="0">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readOnly"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742"/>
    <w:rsid w:val="00017C96"/>
    <w:rsid w:val="000244BC"/>
    <w:rsid w:val="000268FB"/>
    <w:rsid w:val="00046EC6"/>
    <w:rsid w:val="0008157C"/>
    <w:rsid w:val="00084DA4"/>
    <w:rsid w:val="000A3FC7"/>
    <w:rsid w:val="000B365D"/>
    <w:rsid w:val="000C4942"/>
    <w:rsid w:val="000C6EDB"/>
    <w:rsid w:val="000C70E2"/>
    <w:rsid w:val="000D4C6D"/>
    <w:rsid w:val="000D5433"/>
    <w:rsid w:val="00101DD4"/>
    <w:rsid w:val="00114C63"/>
    <w:rsid w:val="00157299"/>
    <w:rsid w:val="001B5026"/>
    <w:rsid w:val="001C14CC"/>
    <w:rsid w:val="001C20C4"/>
    <w:rsid w:val="001D4D57"/>
    <w:rsid w:val="001F5544"/>
    <w:rsid w:val="00201944"/>
    <w:rsid w:val="002034F5"/>
    <w:rsid w:val="00205180"/>
    <w:rsid w:val="00214AAD"/>
    <w:rsid w:val="00215665"/>
    <w:rsid w:val="00230705"/>
    <w:rsid w:val="002405BD"/>
    <w:rsid w:val="0025417E"/>
    <w:rsid w:val="0025715C"/>
    <w:rsid w:val="0027061F"/>
    <w:rsid w:val="00270A98"/>
    <w:rsid w:val="0028101E"/>
    <w:rsid w:val="0028102D"/>
    <w:rsid w:val="00295BA0"/>
    <w:rsid w:val="00295C62"/>
    <w:rsid w:val="002A331B"/>
    <w:rsid w:val="002A79DC"/>
    <w:rsid w:val="002B7972"/>
    <w:rsid w:val="002D5F84"/>
    <w:rsid w:val="0030737B"/>
    <w:rsid w:val="00310E5D"/>
    <w:rsid w:val="003111DF"/>
    <w:rsid w:val="00311837"/>
    <w:rsid w:val="00325149"/>
    <w:rsid w:val="0036717D"/>
    <w:rsid w:val="00371BCE"/>
    <w:rsid w:val="00380BE5"/>
    <w:rsid w:val="003815BA"/>
    <w:rsid w:val="003825E3"/>
    <w:rsid w:val="00390A7D"/>
    <w:rsid w:val="003A78EC"/>
    <w:rsid w:val="003B0127"/>
    <w:rsid w:val="003B0782"/>
    <w:rsid w:val="003B2795"/>
    <w:rsid w:val="003C7F8A"/>
    <w:rsid w:val="003D1864"/>
    <w:rsid w:val="003D65DB"/>
    <w:rsid w:val="003F39C9"/>
    <w:rsid w:val="003F541E"/>
    <w:rsid w:val="00407734"/>
    <w:rsid w:val="004145EF"/>
    <w:rsid w:val="004232AA"/>
    <w:rsid w:val="00430F9B"/>
    <w:rsid w:val="0044263B"/>
    <w:rsid w:val="004451C4"/>
    <w:rsid w:val="00445D89"/>
    <w:rsid w:val="00461FB0"/>
    <w:rsid w:val="00463DFA"/>
    <w:rsid w:val="004657F7"/>
    <w:rsid w:val="0048280A"/>
    <w:rsid w:val="00497CD4"/>
    <w:rsid w:val="004D2036"/>
    <w:rsid w:val="004E6AA0"/>
    <w:rsid w:val="0051289B"/>
    <w:rsid w:val="005262C6"/>
    <w:rsid w:val="0053327C"/>
    <w:rsid w:val="0054126C"/>
    <w:rsid w:val="005437BE"/>
    <w:rsid w:val="00551570"/>
    <w:rsid w:val="005602EA"/>
    <w:rsid w:val="0057418D"/>
    <w:rsid w:val="005829B6"/>
    <w:rsid w:val="00583972"/>
    <w:rsid w:val="005866DE"/>
    <w:rsid w:val="00591FC7"/>
    <w:rsid w:val="005A3A7C"/>
    <w:rsid w:val="005B6106"/>
    <w:rsid w:val="005C08EC"/>
    <w:rsid w:val="005C34A8"/>
    <w:rsid w:val="005D13F7"/>
    <w:rsid w:val="005D5E3C"/>
    <w:rsid w:val="005E4879"/>
    <w:rsid w:val="005F6EE6"/>
    <w:rsid w:val="005F6F2D"/>
    <w:rsid w:val="00603BF5"/>
    <w:rsid w:val="00614E49"/>
    <w:rsid w:val="0063524A"/>
    <w:rsid w:val="00680A73"/>
    <w:rsid w:val="00685742"/>
    <w:rsid w:val="00691CB3"/>
    <w:rsid w:val="00694400"/>
    <w:rsid w:val="00696658"/>
    <w:rsid w:val="006C052D"/>
    <w:rsid w:val="006C1306"/>
    <w:rsid w:val="006C5BB7"/>
    <w:rsid w:val="006D629C"/>
    <w:rsid w:val="006E5A19"/>
    <w:rsid w:val="006F5E94"/>
    <w:rsid w:val="00705DB2"/>
    <w:rsid w:val="00706940"/>
    <w:rsid w:val="0071689F"/>
    <w:rsid w:val="00720294"/>
    <w:rsid w:val="0072657A"/>
    <w:rsid w:val="0072700D"/>
    <w:rsid w:val="00732C5D"/>
    <w:rsid w:val="00767B76"/>
    <w:rsid w:val="007709D7"/>
    <w:rsid w:val="0077238B"/>
    <w:rsid w:val="00776C01"/>
    <w:rsid w:val="0078141C"/>
    <w:rsid w:val="007824C2"/>
    <w:rsid w:val="007A061D"/>
    <w:rsid w:val="007B3F5C"/>
    <w:rsid w:val="007C00AC"/>
    <w:rsid w:val="007C33A5"/>
    <w:rsid w:val="007C52D4"/>
    <w:rsid w:val="007D4FB7"/>
    <w:rsid w:val="007D654A"/>
    <w:rsid w:val="007D7E07"/>
    <w:rsid w:val="007E6A1D"/>
    <w:rsid w:val="007F529E"/>
    <w:rsid w:val="0080512C"/>
    <w:rsid w:val="00806698"/>
    <w:rsid w:val="00815E5B"/>
    <w:rsid w:val="0081626D"/>
    <w:rsid w:val="008279AE"/>
    <w:rsid w:val="00831346"/>
    <w:rsid w:val="008344C8"/>
    <w:rsid w:val="008625FE"/>
    <w:rsid w:val="00874754"/>
    <w:rsid w:val="00883CB4"/>
    <w:rsid w:val="0089239D"/>
    <w:rsid w:val="008A75EB"/>
    <w:rsid w:val="008B0AAA"/>
    <w:rsid w:val="008C7322"/>
    <w:rsid w:val="008D0FE3"/>
    <w:rsid w:val="008D6250"/>
    <w:rsid w:val="008E51D8"/>
    <w:rsid w:val="008E5C0F"/>
    <w:rsid w:val="008E6E03"/>
    <w:rsid w:val="008F3235"/>
    <w:rsid w:val="008F7577"/>
    <w:rsid w:val="00904417"/>
    <w:rsid w:val="00905280"/>
    <w:rsid w:val="00913D95"/>
    <w:rsid w:val="0091453B"/>
    <w:rsid w:val="009148F6"/>
    <w:rsid w:val="0093170C"/>
    <w:rsid w:val="00966129"/>
    <w:rsid w:val="0097186F"/>
    <w:rsid w:val="00990C8A"/>
    <w:rsid w:val="00996D49"/>
    <w:rsid w:val="009A6AD6"/>
    <w:rsid w:val="009A7769"/>
    <w:rsid w:val="009F35BE"/>
    <w:rsid w:val="00A07211"/>
    <w:rsid w:val="00A12043"/>
    <w:rsid w:val="00A45D41"/>
    <w:rsid w:val="00A45F5E"/>
    <w:rsid w:val="00A575F1"/>
    <w:rsid w:val="00A75E99"/>
    <w:rsid w:val="00A76F36"/>
    <w:rsid w:val="00A81494"/>
    <w:rsid w:val="00AA5256"/>
    <w:rsid w:val="00AD4EA1"/>
    <w:rsid w:val="00AE40B5"/>
    <w:rsid w:val="00B0646E"/>
    <w:rsid w:val="00B1031A"/>
    <w:rsid w:val="00B12AAF"/>
    <w:rsid w:val="00B21743"/>
    <w:rsid w:val="00B258C6"/>
    <w:rsid w:val="00B344AD"/>
    <w:rsid w:val="00B41ACA"/>
    <w:rsid w:val="00B42B9C"/>
    <w:rsid w:val="00B96E15"/>
    <w:rsid w:val="00BA1ADA"/>
    <w:rsid w:val="00BB4F18"/>
    <w:rsid w:val="00BB61AA"/>
    <w:rsid w:val="00BB70AC"/>
    <w:rsid w:val="00BC2647"/>
    <w:rsid w:val="00BD65FF"/>
    <w:rsid w:val="00BE393D"/>
    <w:rsid w:val="00C00525"/>
    <w:rsid w:val="00C24B1E"/>
    <w:rsid w:val="00C40349"/>
    <w:rsid w:val="00C41F48"/>
    <w:rsid w:val="00C53051"/>
    <w:rsid w:val="00C53869"/>
    <w:rsid w:val="00C66BE6"/>
    <w:rsid w:val="00C672CE"/>
    <w:rsid w:val="00C672D8"/>
    <w:rsid w:val="00C8255A"/>
    <w:rsid w:val="00C833BE"/>
    <w:rsid w:val="00C90685"/>
    <w:rsid w:val="00CA2282"/>
    <w:rsid w:val="00CA386B"/>
    <w:rsid w:val="00CB5F0F"/>
    <w:rsid w:val="00CC0267"/>
    <w:rsid w:val="00CC0DBC"/>
    <w:rsid w:val="00CD6523"/>
    <w:rsid w:val="00CD7ED8"/>
    <w:rsid w:val="00CE17DF"/>
    <w:rsid w:val="00CE4A3C"/>
    <w:rsid w:val="00CE4EF7"/>
    <w:rsid w:val="00CE7368"/>
    <w:rsid w:val="00CF49DA"/>
    <w:rsid w:val="00D207AE"/>
    <w:rsid w:val="00D22D17"/>
    <w:rsid w:val="00D26617"/>
    <w:rsid w:val="00D26E4D"/>
    <w:rsid w:val="00D27E0E"/>
    <w:rsid w:val="00D361E6"/>
    <w:rsid w:val="00D44694"/>
    <w:rsid w:val="00D50693"/>
    <w:rsid w:val="00D8128D"/>
    <w:rsid w:val="00D91F92"/>
    <w:rsid w:val="00D95C65"/>
    <w:rsid w:val="00DC5127"/>
    <w:rsid w:val="00DC66D1"/>
    <w:rsid w:val="00E259AC"/>
    <w:rsid w:val="00E27F3A"/>
    <w:rsid w:val="00E31FCC"/>
    <w:rsid w:val="00E34744"/>
    <w:rsid w:val="00E477CB"/>
    <w:rsid w:val="00E514D1"/>
    <w:rsid w:val="00E60179"/>
    <w:rsid w:val="00E63074"/>
    <w:rsid w:val="00E667FD"/>
    <w:rsid w:val="00E677FE"/>
    <w:rsid w:val="00E738F1"/>
    <w:rsid w:val="00E856CC"/>
    <w:rsid w:val="00E9231A"/>
    <w:rsid w:val="00E93F1E"/>
    <w:rsid w:val="00EA6B4F"/>
    <w:rsid w:val="00EB5AB6"/>
    <w:rsid w:val="00EB7714"/>
    <w:rsid w:val="00EC6152"/>
    <w:rsid w:val="00ED3E29"/>
    <w:rsid w:val="00EE750B"/>
    <w:rsid w:val="00EF2668"/>
    <w:rsid w:val="00EF53EB"/>
    <w:rsid w:val="00EF765B"/>
    <w:rsid w:val="00F056F7"/>
    <w:rsid w:val="00F10F07"/>
    <w:rsid w:val="00F11960"/>
    <w:rsid w:val="00F17914"/>
    <w:rsid w:val="00F204F1"/>
    <w:rsid w:val="00F222AA"/>
    <w:rsid w:val="00F2782B"/>
    <w:rsid w:val="00F3494D"/>
    <w:rsid w:val="00F4487C"/>
    <w:rsid w:val="00F5748B"/>
    <w:rsid w:val="00F60A77"/>
    <w:rsid w:val="00F62DD7"/>
    <w:rsid w:val="00F63888"/>
    <w:rsid w:val="00F72A8B"/>
    <w:rsid w:val="00F870CA"/>
    <w:rsid w:val="00F94095"/>
    <w:rsid w:val="00FA78F0"/>
    <w:rsid w:val="00FB0D64"/>
    <w:rsid w:val="00FB215F"/>
    <w:rsid w:val="00FE0073"/>
    <w:rsid w:val="00FE068A"/>
    <w:rsid w:val="00FE5FAB"/>
    <w:rsid w:val="022E0760"/>
    <w:rsid w:val="03712F7E"/>
    <w:rsid w:val="0A4E4195"/>
    <w:rsid w:val="0A7D421F"/>
    <w:rsid w:val="0B7C0D95"/>
    <w:rsid w:val="0BC71BFF"/>
    <w:rsid w:val="0CB45227"/>
    <w:rsid w:val="0E87741A"/>
    <w:rsid w:val="19AA5113"/>
    <w:rsid w:val="1B6A4563"/>
    <w:rsid w:val="1DEB7196"/>
    <w:rsid w:val="1E1A62FF"/>
    <w:rsid w:val="1FC55273"/>
    <w:rsid w:val="25EE39F8"/>
    <w:rsid w:val="264512CC"/>
    <w:rsid w:val="289E0E61"/>
    <w:rsid w:val="360C124E"/>
    <w:rsid w:val="3819076D"/>
    <w:rsid w:val="3FA528BA"/>
    <w:rsid w:val="42340A64"/>
    <w:rsid w:val="448C38C7"/>
    <w:rsid w:val="45E6070B"/>
    <w:rsid w:val="466A0EBF"/>
    <w:rsid w:val="47550D7F"/>
    <w:rsid w:val="4B9A7A86"/>
    <w:rsid w:val="4CF02D63"/>
    <w:rsid w:val="52511D8E"/>
    <w:rsid w:val="52D15565"/>
    <w:rsid w:val="567E35A8"/>
    <w:rsid w:val="58D47415"/>
    <w:rsid w:val="5AA338FA"/>
    <w:rsid w:val="5AC81367"/>
    <w:rsid w:val="5C903E50"/>
    <w:rsid w:val="5F37431E"/>
    <w:rsid w:val="62E55633"/>
    <w:rsid w:val="67856DDC"/>
    <w:rsid w:val="67CA5B81"/>
    <w:rsid w:val="6EB51C4F"/>
    <w:rsid w:val="71A128C0"/>
    <w:rsid w:val="725E4594"/>
    <w:rsid w:val="79E6081F"/>
    <w:rsid w:val="79FC5A9B"/>
    <w:rsid w:val="7B971768"/>
    <w:rsid w:val="7BD02B9A"/>
    <w:rsid w:val="7DF71CB4"/>
    <w:rsid w:val="7F8F9D9E"/>
    <w:rsid w:val="7FF90FF9"/>
    <w:rsid w:val="FDE10492"/>
    <w:rsid w:val="FFFF4836"/>
    <w:rsid w:val="FFFFF18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28"/>
    <w:qFormat/>
    <w:uiPriority w:val="0"/>
    <w:pPr>
      <w:keepNext/>
      <w:numPr>
        <w:ilvl w:val="0"/>
        <w:numId w:val="1"/>
      </w:numPr>
      <w:outlineLvl w:val="0"/>
    </w:pPr>
    <w:rPr>
      <w:rFonts w:ascii="宋体" w:hAnsi="Times New Roman"/>
      <w:color w:val="FF0000"/>
      <w:sz w:val="28"/>
      <w:szCs w:val="20"/>
    </w:rPr>
  </w:style>
  <w:style w:type="paragraph" w:styleId="3">
    <w:name w:val="heading 2"/>
    <w:basedOn w:val="1"/>
    <w:next w:val="1"/>
    <w:link w:val="57"/>
    <w:semiHidden/>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link w:val="56"/>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link w:val="29"/>
    <w:qFormat/>
    <w:uiPriority w:val="0"/>
    <w:pPr>
      <w:keepNext/>
      <w:widowControl/>
      <w:jc w:val="left"/>
      <w:outlineLvl w:val="3"/>
    </w:pPr>
    <w:rPr>
      <w:rFonts w:ascii="Tms Rmn" w:hAnsi="Tms Rmn" w:cs="Tms Rmn"/>
      <w:b/>
      <w:bCs/>
      <w:kern w:val="0"/>
      <w:sz w:val="20"/>
      <w:szCs w:val="20"/>
      <w:lang w:eastAsia="en-US"/>
    </w:rPr>
  </w:style>
  <w:style w:type="character" w:default="1" w:styleId="22">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styleId="6">
    <w:name w:val="Document Map"/>
    <w:basedOn w:val="1"/>
    <w:link w:val="30"/>
    <w:qFormat/>
    <w:uiPriority w:val="0"/>
    <w:rPr>
      <w:rFonts w:ascii="宋体" w:hAnsi="Times New Roman"/>
      <w:sz w:val="18"/>
      <w:szCs w:val="18"/>
    </w:rPr>
  </w:style>
  <w:style w:type="paragraph" w:styleId="7">
    <w:name w:val="annotation text"/>
    <w:basedOn w:val="1"/>
    <w:link w:val="31"/>
    <w:unhideWhenUsed/>
    <w:qFormat/>
    <w:uiPriority w:val="99"/>
    <w:pPr>
      <w:spacing w:line="440" w:lineRule="exact"/>
      <w:jc w:val="left"/>
    </w:pPr>
    <w:rPr>
      <w:rFonts w:ascii="宋体" w:hAnsi="宋体"/>
      <w:sz w:val="26"/>
      <w:szCs w:val="20"/>
    </w:rPr>
  </w:style>
  <w:style w:type="paragraph" w:styleId="8">
    <w:name w:val="Body Text"/>
    <w:basedOn w:val="1"/>
    <w:link w:val="32"/>
    <w:qFormat/>
    <w:uiPriority w:val="0"/>
    <w:pPr>
      <w:spacing w:after="120"/>
    </w:pPr>
    <w:rPr>
      <w:rFonts w:ascii="Times New Roman" w:hAnsi="Times New Roman"/>
      <w:szCs w:val="24"/>
    </w:rPr>
  </w:style>
  <w:style w:type="paragraph" w:styleId="9">
    <w:name w:val="Body Text Indent"/>
    <w:basedOn w:val="1"/>
    <w:link w:val="33"/>
    <w:qFormat/>
    <w:uiPriority w:val="0"/>
    <w:pPr>
      <w:ind w:firstLine="720" w:firstLineChars="257"/>
    </w:pPr>
    <w:rPr>
      <w:rFonts w:ascii="Times New Roman" w:hAnsi="Times New Roman"/>
      <w:sz w:val="28"/>
      <w:szCs w:val="24"/>
    </w:rPr>
  </w:style>
  <w:style w:type="paragraph" w:styleId="10">
    <w:name w:val="Plain Text"/>
    <w:basedOn w:val="1"/>
    <w:link w:val="34"/>
    <w:qFormat/>
    <w:uiPriority w:val="0"/>
    <w:rPr>
      <w:rFonts w:ascii="宋体" w:hAnsi="Courier New"/>
      <w:b/>
      <w:i/>
      <w:szCs w:val="20"/>
    </w:rPr>
  </w:style>
  <w:style w:type="paragraph" w:styleId="11">
    <w:name w:val="Date"/>
    <w:basedOn w:val="1"/>
    <w:next w:val="1"/>
    <w:link w:val="35"/>
    <w:qFormat/>
    <w:uiPriority w:val="0"/>
    <w:rPr>
      <w:rFonts w:ascii="宋体" w:hAnsi="Times New Roman"/>
      <w:sz w:val="24"/>
      <w:szCs w:val="20"/>
    </w:rPr>
  </w:style>
  <w:style w:type="paragraph" w:styleId="12">
    <w:name w:val="Body Text Indent 2"/>
    <w:basedOn w:val="1"/>
    <w:link w:val="36"/>
    <w:qFormat/>
    <w:uiPriority w:val="0"/>
    <w:pPr>
      <w:spacing w:after="120" w:line="480" w:lineRule="auto"/>
      <w:ind w:left="420" w:leftChars="200"/>
    </w:pPr>
    <w:rPr>
      <w:rFonts w:ascii="Times New Roman" w:hAnsi="Times New Roman"/>
      <w:szCs w:val="24"/>
    </w:rPr>
  </w:style>
  <w:style w:type="paragraph" w:styleId="13">
    <w:name w:val="Balloon Text"/>
    <w:basedOn w:val="1"/>
    <w:link w:val="37"/>
    <w:qFormat/>
    <w:uiPriority w:val="0"/>
    <w:rPr>
      <w:rFonts w:ascii="Times New Roman" w:hAnsi="Times New Roman"/>
      <w:sz w:val="18"/>
      <w:szCs w:val="18"/>
    </w:rPr>
  </w:style>
  <w:style w:type="paragraph" w:styleId="14">
    <w:name w:val="footer"/>
    <w:basedOn w:val="1"/>
    <w:link w:val="38"/>
    <w:unhideWhenUsed/>
    <w:qFormat/>
    <w:uiPriority w:val="0"/>
    <w:pPr>
      <w:tabs>
        <w:tab w:val="center" w:pos="4153"/>
        <w:tab w:val="right" w:pos="8306"/>
      </w:tabs>
      <w:snapToGrid w:val="0"/>
      <w:jc w:val="left"/>
    </w:pPr>
    <w:rPr>
      <w:kern w:val="0"/>
      <w:sz w:val="18"/>
      <w:szCs w:val="18"/>
    </w:rPr>
  </w:style>
  <w:style w:type="paragraph" w:styleId="15">
    <w:name w:val="header"/>
    <w:basedOn w:val="1"/>
    <w:link w:val="39"/>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16">
    <w:name w:val="toc 1"/>
    <w:basedOn w:val="1"/>
    <w:next w:val="1"/>
    <w:semiHidden/>
    <w:unhideWhenUsed/>
    <w:qFormat/>
    <w:uiPriority w:val="39"/>
  </w:style>
  <w:style w:type="paragraph" w:styleId="17">
    <w:name w:val="toc 2"/>
    <w:basedOn w:val="1"/>
    <w:next w:val="1"/>
    <w:semiHidden/>
    <w:unhideWhenUsed/>
    <w:qFormat/>
    <w:uiPriority w:val="39"/>
    <w:pPr>
      <w:ind w:left="420" w:leftChars="200"/>
    </w:pPr>
  </w:style>
  <w:style w:type="paragraph" w:styleId="18">
    <w:name w:val="HTML Preformatted"/>
    <w:basedOn w:val="1"/>
    <w:link w:val="4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19">
    <w:name w:val="annotation subject"/>
    <w:basedOn w:val="7"/>
    <w:next w:val="7"/>
    <w:link w:val="41"/>
    <w:qFormat/>
    <w:uiPriority w:val="0"/>
    <w:pPr>
      <w:spacing w:line="240" w:lineRule="auto"/>
    </w:pPr>
    <w:rPr>
      <w:rFonts w:ascii="Times New Roman" w:hAnsi="Times New Roman"/>
      <w:b/>
      <w:bCs/>
      <w:sz w:val="21"/>
      <w:szCs w:val="24"/>
    </w:rPr>
  </w:style>
  <w:style w:type="table" w:styleId="21">
    <w:name w:val="Table Grid"/>
    <w:basedOn w:val="2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b/>
    </w:rPr>
  </w:style>
  <w:style w:type="character" w:styleId="24">
    <w:name w:val="page number"/>
    <w:qFormat/>
    <w:uiPriority w:val="0"/>
  </w:style>
  <w:style w:type="character" w:styleId="25">
    <w:name w:val="Emphasis"/>
    <w:qFormat/>
    <w:uiPriority w:val="0"/>
    <w:rPr>
      <w:color w:val="CC0000"/>
    </w:rPr>
  </w:style>
  <w:style w:type="character" w:styleId="26">
    <w:name w:val="Hyperlink"/>
    <w:qFormat/>
    <w:uiPriority w:val="0"/>
    <w:rPr>
      <w:color w:val="0000FF"/>
      <w:u w:val="single"/>
    </w:rPr>
  </w:style>
  <w:style w:type="character" w:styleId="27">
    <w:name w:val="annotation reference"/>
    <w:qFormat/>
    <w:uiPriority w:val="99"/>
    <w:rPr>
      <w:sz w:val="21"/>
      <w:szCs w:val="21"/>
    </w:rPr>
  </w:style>
  <w:style w:type="character" w:customStyle="1" w:styleId="28">
    <w:name w:val="标题 1 字符"/>
    <w:link w:val="2"/>
    <w:qFormat/>
    <w:uiPriority w:val="0"/>
    <w:rPr>
      <w:rFonts w:ascii="宋体" w:hAnsi="Times New Roman" w:cs="宋体"/>
      <w:color w:val="FF0000"/>
      <w:kern w:val="2"/>
      <w:sz w:val="28"/>
    </w:rPr>
  </w:style>
  <w:style w:type="character" w:customStyle="1" w:styleId="29">
    <w:name w:val="标题 4 字符"/>
    <w:link w:val="5"/>
    <w:qFormat/>
    <w:uiPriority w:val="0"/>
    <w:rPr>
      <w:rFonts w:ascii="Tms Rmn" w:hAnsi="Tms Rmn" w:cs="Tms Rmn"/>
      <w:b/>
      <w:bCs/>
      <w:lang w:eastAsia="en-US"/>
    </w:rPr>
  </w:style>
  <w:style w:type="character" w:customStyle="1" w:styleId="30">
    <w:name w:val="文档结构图 字符"/>
    <w:link w:val="6"/>
    <w:qFormat/>
    <w:uiPriority w:val="0"/>
    <w:rPr>
      <w:rFonts w:ascii="宋体" w:hAnsi="Times New Roman"/>
      <w:kern w:val="2"/>
      <w:sz w:val="18"/>
      <w:szCs w:val="18"/>
    </w:rPr>
  </w:style>
  <w:style w:type="character" w:customStyle="1" w:styleId="31">
    <w:name w:val="批注文字 字符"/>
    <w:link w:val="7"/>
    <w:qFormat/>
    <w:uiPriority w:val="0"/>
    <w:rPr>
      <w:rFonts w:ascii="宋体" w:hAnsi="宋体"/>
      <w:kern w:val="2"/>
      <w:sz w:val="26"/>
    </w:rPr>
  </w:style>
  <w:style w:type="character" w:customStyle="1" w:styleId="32">
    <w:name w:val="正文文本 字符"/>
    <w:link w:val="8"/>
    <w:qFormat/>
    <w:uiPriority w:val="0"/>
    <w:rPr>
      <w:rFonts w:ascii="Times New Roman" w:hAnsi="Times New Roman"/>
      <w:kern w:val="2"/>
      <w:sz w:val="21"/>
      <w:szCs w:val="24"/>
    </w:rPr>
  </w:style>
  <w:style w:type="character" w:customStyle="1" w:styleId="33">
    <w:name w:val="正文文本缩进 字符"/>
    <w:link w:val="9"/>
    <w:qFormat/>
    <w:uiPriority w:val="0"/>
    <w:rPr>
      <w:rFonts w:ascii="Times New Roman" w:hAnsi="Times New Roman"/>
      <w:kern w:val="2"/>
      <w:sz w:val="28"/>
      <w:szCs w:val="24"/>
    </w:rPr>
  </w:style>
  <w:style w:type="character" w:customStyle="1" w:styleId="34">
    <w:name w:val="纯文本 字符"/>
    <w:link w:val="10"/>
    <w:qFormat/>
    <w:uiPriority w:val="0"/>
    <w:rPr>
      <w:rFonts w:ascii="宋体" w:hAnsi="Courier New"/>
      <w:b/>
      <w:i/>
      <w:kern w:val="2"/>
      <w:sz w:val="21"/>
    </w:rPr>
  </w:style>
  <w:style w:type="character" w:customStyle="1" w:styleId="35">
    <w:name w:val="日期 字符"/>
    <w:link w:val="11"/>
    <w:qFormat/>
    <w:uiPriority w:val="0"/>
    <w:rPr>
      <w:rFonts w:ascii="宋体" w:hAnsi="Times New Roman"/>
      <w:kern w:val="2"/>
      <w:sz w:val="24"/>
    </w:rPr>
  </w:style>
  <w:style w:type="character" w:customStyle="1" w:styleId="36">
    <w:name w:val="正文文本缩进 2 字符"/>
    <w:link w:val="12"/>
    <w:qFormat/>
    <w:uiPriority w:val="0"/>
    <w:rPr>
      <w:rFonts w:ascii="Times New Roman" w:hAnsi="Times New Roman"/>
      <w:kern w:val="2"/>
      <w:sz w:val="21"/>
      <w:szCs w:val="24"/>
    </w:rPr>
  </w:style>
  <w:style w:type="character" w:customStyle="1" w:styleId="37">
    <w:name w:val="批注框文本 字符"/>
    <w:link w:val="13"/>
    <w:qFormat/>
    <w:uiPriority w:val="0"/>
    <w:rPr>
      <w:rFonts w:ascii="Times New Roman" w:hAnsi="Times New Roman"/>
      <w:kern w:val="2"/>
      <w:sz w:val="18"/>
      <w:szCs w:val="18"/>
    </w:rPr>
  </w:style>
  <w:style w:type="character" w:customStyle="1" w:styleId="38">
    <w:name w:val="页脚 字符"/>
    <w:link w:val="14"/>
    <w:qFormat/>
    <w:uiPriority w:val="99"/>
    <w:rPr>
      <w:sz w:val="18"/>
      <w:szCs w:val="18"/>
    </w:rPr>
  </w:style>
  <w:style w:type="character" w:customStyle="1" w:styleId="39">
    <w:name w:val="页眉 字符"/>
    <w:link w:val="15"/>
    <w:qFormat/>
    <w:uiPriority w:val="99"/>
    <w:rPr>
      <w:sz w:val="18"/>
      <w:szCs w:val="18"/>
    </w:rPr>
  </w:style>
  <w:style w:type="character" w:customStyle="1" w:styleId="40">
    <w:name w:val="HTML 预设格式 字符"/>
    <w:link w:val="18"/>
    <w:qFormat/>
    <w:uiPriority w:val="99"/>
    <w:rPr>
      <w:rFonts w:ascii="宋体" w:hAnsi="宋体" w:cs="宋体"/>
      <w:sz w:val="24"/>
      <w:szCs w:val="24"/>
    </w:rPr>
  </w:style>
  <w:style w:type="character" w:customStyle="1" w:styleId="41">
    <w:name w:val="批注主题 字符"/>
    <w:link w:val="19"/>
    <w:qFormat/>
    <w:uiPriority w:val="0"/>
    <w:rPr>
      <w:rFonts w:ascii="Times New Roman" w:hAnsi="Times New Roman"/>
      <w:b/>
      <w:bCs/>
      <w:kern w:val="2"/>
      <w:sz w:val="21"/>
      <w:szCs w:val="24"/>
    </w:rPr>
  </w:style>
  <w:style w:type="paragraph" w:styleId="42">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43">
    <w:name w:val="Char Char Char Char Char Char Char Char Char Char Char1 Char Char Char Char Char Char Char Char Char"/>
    <w:basedOn w:val="1"/>
    <w:qFormat/>
    <w:uiPriority w:val="0"/>
    <w:rPr>
      <w:rFonts w:ascii="Tahoma" w:hAnsi="Tahoma"/>
      <w:sz w:val="24"/>
      <w:szCs w:val="24"/>
    </w:rPr>
  </w:style>
  <w:style w:type="character" w:customStyle="1" w:styleId="44">
    <w:name w:val="段 Char"/>
    <w:link w:val="45"/>
    <w:qFormat/>
    <w:uiPriority w:val="0"/>
    <w:rPr>
      <w:rFonts w:ascii="宋体"/>
      <w:sz w:val="21"/>
    </w:rPr>
  </w:style>
  <w:style w:type="paragraph" w:customStyle="1" w:styleId="45">
    <w:name w:val="段"/>
    <w:link w:val="44"/>
    <w:qFormat/>
    <w:uiPriority w:val="0"/>
    <w:pPr>
      <w:tabs>
        <w:tab w:val="center" w:pos="4201"/>
        <w:tab w:val="right" w:leader="dot" w:pos="9298"/>
      </w:tabs>
      <w:autoSpaceDE w:val="0"/>
      <w:autoSpaceDN w:val="0"/>
      <w:ind w:firstLine="420" w:firstLineChars="200"/>
      <w:jc w:val="both"/>
    </w:pPr>
    <w:rPr>
      <w:rFonts w:ascii="宋体" w:hAnsi="Calibri" w:eastAsia="宋体" w:cs="Times New Roman"/>
      <w:sz w:val="21"/>
      <w:lang w:val="en-US" w:eastAsia="zh-CN" w:bidi="ar-SA"/>
    </w:rPr>
  </w:style>
  <w:style w:type="character" w:customStyle="1" w:styleId="46">
    <w:name w:val="一级条标题 Char"/>
    <w:link w:val="47"/>
    <w:qFormat/>
    <w:uiPriority w:val="0"/>
    <w:rPr>
      <w:rFonts w:ascii="黑体" w:eastAsia="黑体"/>
      <w:sz w:val="21"/>
      <w:szCs w:val="21"/>
    </w:rPr>
  </w:style>
  <w:style w:type="paragraph" w:customStyle="1" w:styleId="47">
    <w:name w:val="一级条标题"/>
    <w:next w:val="1"/>
    <w:link w:val="46"/>
    <w:qFormat/>
    <w:uiPriority w:val="0"/>
    <w:pPr>
      <w:spacing w:beforeLines="50" w:afterLines="50"/>
      <w:outlineLvl w:val="2"/>
    </w:pPr>
    <w:rPr>
      <w:rFonts w:ascii="黑体" w:hAnsi="Calibri" w:eastAsia="黑体" w:cs="Times New Roman"/>
      <w:sz w:val="21"/>
      <w:szCs w:val="21"/>
      <w:lang w:val="en-US" w:eastAsia="zh-CN" w:bidi="ar-SA"/>
    </w:rPr>
  </w:style>
  <w:style w:type="paragraph" w:styleId="48">
    <w:name w:val="List Paragraph"/>
    <w:basedOn w:val="1"/>
    <w:link w:val="49"/>
    <w:qFormat/>
    <w:uiPriority w:val="34"/>
    <w:pPr>
      <w:spacing w:line="240" w:lineRule="atLeast"/>
      <w:ind w:left="357" w:firstLine="420" w:firstLineChars="200"/>
    </w:pPr>
  </w:style>
  <w:style w:type="character" w:customStyle="1" w:styleId="49">
    <w:name w:val="列表段落 字符"/>
    <w:link w:val="48"/>
    <w:qFormat/>
    <w:uiPriority w:val="34"/>
    <w:rPr>
      <w:kern w:val="2"/>
      <w:sz w:val="21"/>
      <w:szCs w:val="22"/>
    </w:rPr>
  </w:style>
  <w:style w:type="paragraph" w:customStyle="1" w:styleId="50">
    <w:name w:val="七"/>
    <w:basedOn w:val="48"/>
    <w:link w:val="51"/>
    <w:qFormat/>
    <w:uiPriority w:val="0"/>
    <w:pPr>
      <w:numPr>
        <w:ilvl w:val="0"/>
        <w:numId w:val="2"/>
      </w:numPr>
      <w:ind w:firstLineChars="0"/>
    </w:pPr>
    <w:rPr>
      <w:rFonts w:ascii="宋体" w:hAnsi="宋体"/>
      <w:b/>
    </w:rPr>
  </w:style>
  <w:style w:type="character" w:customStyle="1" w:styleId="51">
    <w:name w:val="七 Char"/>
    <w:link w:val="50"/>
    <w:qFormat/>
    <w:uiPriority w:val="0"/>
    <w:rPr>
      <w:rFonts w:ascii="宋体" w:hAnsi="宋体"/>
      <w:b/>
      <w:kern w:val="2"/>
      <w:sz w:val="21"/>
      <w:szCs w:val="22"/>
    </w:rPr>
  </w:style>
  <w:style w:type="character" w:customStyle="1" w:styleId="52">
    <w:name w:val="批注文字 Char"/>
    <w:qFormat/>
    <w:uiPriority w:val="99"/>
    <w:rPr>
      <w:kern w:val="2"/>
      <w:sz w:val="21"/>
      <w:szCs w:val="22"/>
    </w:rPr>
  </w:style>
  <w:style w:type="paragraph" w:customStyle="1" w:styleId="53">
    <w:name w:val="p0"/>
    <w:basedOn w:val="1"/>
    <w:qFormat/>
    <w:uiPriority w:val="0"/>
    <w:pPr>
      <w:widowControl/>
    </w:pPr>
    <w:rPr>
      <w:rFonts w:ascii="Times New Roman" w:hAnsi="Times New Roman"/>
      <w:kern w:val="0"/>
      <w:szCs w:val="21"/>
    </w:rPr>
  </w:style>
  <w:style w:type="paragraph" w:customStyle="1" w:styleId="54">
    <w:name w:val="列出段落1"/>
    <w:basedOn w:val="1"/>
    <w:qFormat/>
    <w:uiPriority w:val="0"/>
    <w:pPr>
      <w:widowControl/>
      <w:spacing w:after="200" w:line="276" w:lineRule="auto"/>
      <w:ind w:left="720"/>
      <w:jc w:val="left"/>
    </w:pPr>
    <w:rPr>
      <w:kern w:val="0"/>
      <w:sz w:val="22"/>
      <w:szCs w:val="20"/>
    </w:rPr>
  </w:style>
  <w:style w:type="paragraph" w:customStyle="1" w:styleId="55">
    <w:name w:val="列出段落2"/>
    <w:basedOn w:val="1"/>
    <w:qFormat/>
    <w:uiPriority w:val="0"/>
    <w:pPr>
      <w:widowControl/>
      <w:spacing w:after="200" w:line="276" w:lineRule="auto"/>
      <w:ind w:left="720"/>
      <w:jc w:val="left"/>
    </w:pPr>
    <w:rPr>
      <w:kern w:val="0"/>
      <w:sz w:val="22"/>
      <w:szCs w:val="20"/>
    </w:rPr>
  </w:style>
  <w:style w:type="character" w:customStyle="1" w:styleId="56">
    <w:name w:val="标题 3 Char"/>
    <w:link w:val="4"/>
    <w:qFormat/>
    <w:uiPriority w:val="0"/>
    <w:rPr>
      <w:rFonts w:hint="eastAsia" w:ascii="宋体" w:hAnsi="宋体" w:eastAsia="宋体" w:cs="宋体"/>
      <w:b/>
      <w:bCs/>
      <w:kern w:val="0"/>
      <w:sz w:val="27"/>
      <w:szCs w:val="27"/>
      <w:lang w:val="en-US" w:eastAsia="zh-CN" w:bidi="ar"/>
    </w:rPr>
  </w:style>
  <w:style w:type="character" w:customStyle="1" w:styleId="57">
    <w:name w:val="标题 2 Char"/>
    <w:link w:val="3"/>
    <w:qFormat/>
    <w:uiPriority w:val="0"/>
    <w:rPr>
      <w:rFonts w:ascii="Arial" w:hAnsi="Arial" w:eastAsia="黑体"/>
      <w:b/>
      <w:sz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haier.com</Company>
  <Pages>18</Pages>
  <Words>4380</Words>
  <Characters>4823</Characters>
  <Lines>175</Lines>
  <Paragraphs>49</Paragraphs>
  <TotalTime>11</TotalTime>
  <ScaleCrop>false</ScaleCrop>
  <LinksUpToDate>false</LinksUpToDate>
  <CharactersWithSpaces>5067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2021-04-01T16:46:00Z</dcterms:created>
  <dc:creator>SkyUser</dc:creator>
  <cp:lastModifiedBy>闻殿辉</cp:lastModifiedBy>
  <cp:lastPrinted>2020-02-20T15:15:00Z</cp:lastPrinted>
  <dcterms:modified xsi:type="dcterms:W3CDTF">2026-08-07T02:24:46Z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eyJoZGlkIjoiZWIxMzBmOGRlMmNiZmMyYjkxNjU4OTAzZDc2ODE0OWYiLCJ1c2VySWQiOiIxMjU2NjQ2OTA1In0=</vt:lpwstr>
  </property>
  <property fmtid="{D5CDD505-2E9C-101B-9397-08002B2CF9AE}" pid="3" name="KSOProductBuildVer">
    <vt:lpwstr>2052-12.1.0.28043</vt:lpwstr>
  </property>
  <property fmtid="{D5CDD505-2E9C-101B-9397-08002B2CF9AE}" pid="4" name="ICV">
    <vt:lpwstr>0540AB83F2B7416CB936F1845235CC92_13</vt:lpwstr>
  </property>
</Properties>
</file>