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DBBB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730105" cy="4990465"/>
            <wp:effectExtent l="0" t="0" r="4445" b="635"/>
            <wp:docPr id="1" name="图片 1" descr="工商信息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商信息页示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30105" cy="499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DA62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609455" cy="5391785"/>
            <wp:effectExtent l="0" t="0" r="10795" b="18415"/>
            <wp:docPr id="2" name="图片 2" descr="主要股东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主要股东页示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09455" cy="539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0FFE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607550" cy="5672455"/>
            <wp:effectExtent l="0" t="0" r="12700" b="4445"/>
            <wp:docPr id="3" name="图片 3" descr="主要人员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主要人员页示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07550" cy="567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6C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2026-06-10T01:24:26Z</dcterms:created>
  <dc:creator>Administrator</dc:creator>
  <cp:lastModifiedBy>就是酷牛</cp:lastModifiedBy>
  <dcterms:modified xsi:type="dcterms:W3CDTF">2026-06-10T01:26:38Z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eyJoZGlkIjoiN2NmNjAzYzE3ZmJjMTU1YzIwYmQ4ZmFmNmRhMGVkNjMiLCJ1c2VySWQiOiI1NDcxNDExNzcifQ==</vt:lpwstr>
  </property>
  <property fmtid="{D5CDD505-2E9C-101B-9397-08002B2CF9AE}" pid="4" name="ICV">
    <vt:lpwstr>26235689DBC84355807F3991CBE290B1_12</vt:lpwstr>
  </property>
</Properties>
</file>