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664ED8">
      <w:pPr>
        <w:spacing w:before="480" w:after="480" w:line="288" w:lineRule="auto"/>
        <w:jc w:val="center"/>
        <w:rPr>
          <w:rFonts w:hint="eastAsia" w:eastAsia="等线"/>
          <w:lang w:eastAsia="zh-CN"/>
        </w:rPr>
      </w:pPr>
      <w:r>
        <w:rPr>
          <w:rFonts w:ascii="Arial" w:hAnsi="Arial" w:eastAsia="等线" w:cs="Arial"/>
          <w:b/>
          <w:sz w:val="52"/>
        </w:rPr>
        <w:t>自动焊接站技术说明文件</w:t>
      </w:r>
      <w:r>
        <w:rPr>
          <w:rFonts w:hint="eastAsia" w:ascii="Arial" w:hAnsi="Arial" w:eastAsia="等线" w:cs="Arial"/>
          <w:b/>
          <w:sz w:val="32"/>
          <w:szCs w:val="15"/>
          <w:lang w:eastAsia="zh-CN"/>
        </w:rPr>
        <w:t>（</w:t>
      </w:r>
      <w:r>
        <w:rPr>
          <w:rFonts w:hint="eastAsia" w:ascii="Arial" w:hAnsi="Arial" w:eastAsia="等线" w:cs="Arial"/>
          <w:b/>
          <w:sz w:val="32"/>
          <w:szCs w:val="15"/>
          <w:lang w:val="en-US" w:eastAsia="zh-CN"/>
        </w:rPr>
        <w:t>概述</w:t>
      </w:r>
      <w:r>
        <w:rPr>
          <w:rFonts w:hint="eastAsia" w:ascii="Arial" w:hAnsi="Arial" w:eastAsia="等线" w:cs="Arial"/>
          <w:b/>
          <w:sz w:val="32"/>
          <w:szCs w:val="15"/>
          <w:lang w:eastAsia="zh-CN"/>
        </w:rPr>
        <w:t>）</w:t>
      </w:r>
    </w:p>
    <w:p w14:paraId="2BE0968B">
      <w:pPr>
        <w:spacing w:before="320" w:after="120" w:line="288" w:lineRule="auto"/>
        <w:jc w:val="left"/>
        <w:outlineLvl w:val="1"/>
      </w:pPr>
      <w:bookmarkStart w:id="0" w:name="heading_0"/>
      <w:r>
        <w:rPr>
          <w:rFonts w:ascii="Arial" w:hAnsi="Arial" w:eastAsia="等线" w:cs="Arial"/>
          <w:b/>
          <w:sz w:val="32"/>
        </w:rPr>
        <w:t>一、设备整体规格</w:t>
      </w:r>
      <w:bookmarkEnd w:id="0"/>
    </w:p>
    <w:p w14:paraId="492BC1BF">
      <w:pPr>
        <w:spacing w:before="120" w:after="120" w:line="288" w:lineRule="auto"/>
        <w:ind w:firstLine="440" w:firstLineChars="200"/>
        <w:jc w:val="left"/>
      </w:pPr>
      <w:r>
        <w:rPr>
          <w:rFonts w:ascii="Arial" w:hAnsi="Arial" w:eastAsia="等线" w:cs="Arial"/>
          <w:sz w:val="22"/>
        </w:rPr>
        <w:t>自动焊接站整体尺寸标准</w:t>
      </w:r>
      <w:r>
        <w:rPr>
          <w:rFonts w:hint="eastAsia" w:ascii="Arial" w:hAnsi="Arial" w:eastAsia="等线" w:cs="Arial"/>
          <w:sz w:val="22"/>
          <w:lang w:val="en-US" w:eastAsia="zh-CN"/>
        </w:rPr>
        <w:t>以工件尺寸为准（工件尺寸长4-6m，宽2.5-4米）</w:t>
      </w:r>
      <w:r>
        <w:rPr>
          <w:rFonts w:ascii="Arial" w:hAnsi="Arial" w:eastAsia="等线" w:cs="Arial"/>
          <w:sz w:val="22"/>
        </w:rPr>
        <w:t>，整体结构布局科学合理，核心工作区域为设备中部设置的双向旋转工作台，该工作台是保障设备高效运行的核心组件。双向工作台采用对称式结构设计，可同时承载两组工件，实现前端上料与后端焊接工序的并行作业，有效缩短工序等待时长，显著提升设备整体生产效率。本设备专为单一规格产品设计，可实现该类产品的快速批量加工，适配规模化生产需求，确保产品焊接质量的一致性与稳定性。</w:t>
      </w:r>
    </w:p>
    <w:p w14:paraId="0C0162D8">
      <w:pPr>
        <w:spacing w:before="320" w:after="120" w:line="288" w:lineRule="auto"/>
        <w:jc w:val="left"/>
        <w:outlineLvl w:val="1"/>
      </w:pPr>
      <w:bookmarkStart w:id="1" w:name="heading_1"/>
      <w:r>
        <w:rPr>
          <w:rFonts w:ascii="Arial" w:hAnsi="Arial" w:eastAsia="等线" w:cs="Arial"/>
          <w:b/>
          <w:sz w:val="32"/>
        </w:rPr>
        <w:t>二、核心工作流程（行程闭环操作）</w:t>
      </w:r>
      <w:bookmarkEnd w:id="1"/>
    </w:p>
    <w:p w14:paraId="7B4518DC">
      <w:pPr>
        <w:numPr>
          <w:ilvl w:val="0"/>
          <w:numId w:val="1"/>
        </w:numPr>
        <w:spacing w:before="120" w:after="120" w:line="288" w:lineRule="auto"/>
        <w:jc w:val="left"/>
      </w:pPr>
      <w:r>
        <w:rPr>
          <w:rFonts w:ascii="Arial" w:hAnsi="Arial" w:eastAsia="等线" w:cs="Arial"/>
          <w:sz w:val="22"/>
        </w:rPr>
        <w:t>前端上料与固定：操作人员在工作站前端指定操作区域开展人工上料作业，将待焊接方管工件精准放置于旋转工作台对应工位，随后通过手动夹持机构对工件进行牢固固定。夹持过程中需确认工件定位精准、夹持力度适宜，防止因夹持过松导致焊接偏移或夹持过紧损坏工件，确认固定合格后，按下启动按钮，启动旋转工作台运行。</w:t>
      </w:r>
    </w:p>
    <w:p w14:paraId="6CBF809E">
      <w:pPr>
        <w:numPr>
          <w:ilvl w:val="0"/>
          <w:numId w:val="2"/>
        </w:numPr>
        <w:spacing w:before="120" w:after="120" w:line="288" w:lineRule="auto"/>
        <w:jc w:val="left"/>
      </w:pPr>
      <w:r>
        <w:rPr>
          <w:rFonts w:ascii="Arial" w:hAnsi="Arial" w:eastAsia="等线" w:cs="Arial"/>
          <w:sz w:val="22"/>
        </w:rPr>
        <w:t>后端自动焊接：旋转工作台依据预设程序平稳旋转至后端机器人焊接区域，此时</w:t>
      </w:r>
      <w:r>
        <w:rPr>
          <w:rFonts w:hint="eastAsia" w:ascii="Arial" w:hAnsi="Arial" w:eastAsia="等线" w:cs="Arial"/>
          <w:sz w:val="22"/>
          <w:lang w:val="en-US" w:eastAsia="zh-CN"/>
        </w:rPr>
        <w:t>先对工件进行扫描，人工确认焊缝数量，随后</w:t>
      </w:r>
      <w:r>
        <w:rPr>
          <w:rFonts w:ascii="Arial" w:hAnsi="Arial" w:eastAsia="等线" w:cs="Arial"/>
          <w:sz w:val="22"/>
        </w:rPr>
        <w:t>焊接机器人自动启动预设焊接程序，按照既定焊接参数及焊接路径，对工件实施精准自动焊接，焊接全过程无需人工干预。与此同时，操作人员可在前端另一工作台同步开展下一组工件的上料与固定作业，实现上料与焊接工序的并行推进，最大化利用设备工时，大幅提升加工效率。</w:t>
      </w:r>
    </w:p>
    <w:p w14:paraId="5D1B67C6">
      <w:pPr>
        <w:numPr>
          <w:ilvl w:val="0"/>
          <w:numId w:val="3"/>
        </w:numPr>
        <w:spacing w:before="120" w:after="120" w:line="288" w:lineRule="auto"/>
        <w:jc w:val="left"/>
      </w:pPr>
      <w:r>
        <w:rPr>
          <w:rFonts w:ascii="Arial" w:hAnsi="Arial" w:eastAsia="等线" w:cs="Arial"/>
          <w:sz w:val="22"/>
        </w:rPr>
        <w:t>工件翻转与二次焊接：当工件单面焊接作业完成后，旋转工作台按照闭环流程将工件旋转至前端正面操作区域，此时工作站配备的悬吊式工装抓手自动启动，精准抓取工件并按照预设角度完成翻转动作。翻转完成后，操作人员需对工件再次进行手动固定，确保工件在二次焊接过程中位置稳定，固定合格后，旋转工作台再次旋转至后端焊接区域，焊接机器人启动二次焊接程序，完成工件另一面的焊接作业，整个作业流程形成完整的行程闭环，保障工件焊接全面达标。</w:t>
      </w:r>
    </w:p>
    <w:p w14:paraId="416AEAA6">
      <w:pPr>
        <w:spacing w:before="320" w:after="120" w:line="288" w:lineRule="auto"/>
        <w:jc w:val="left"/>
        <w:outlineLvl w:val="1"/>
      </w:pPr>
      <w:bookmarkStart w:id="2" w:name="heading_2"/>
      <w:r>
        <w:rPr>
          <w:rFonts w:ascii="Arial" w:hAnsi="Arial" w:eastAsia="等线" w:cs="Arial"/>
          <w:b/>
          <w:sz w:val="32"/>
        </w:rPr>
        <w:t>三、安全保护措施</w:t>
      </w:r>
      <w:bookmarkEnd w:id="2"/>
    </w:p>
    <w:p w14:paraId="471A962D">
      <w:pPr>
        <w:numPr>
          <w:ilvl w:val="0"/>
          <w:numId w:val="4"/>
        </w:numPr>
        <w:spacing w:before="120" w:after="120" w:line="288" w:lineRule="auto"/>
        <w:jc w:val="left"/>
      </w:pPr>
      <w:r>
        <w:rPr>
          <w:rFonts w:ascii="Arial" w:hAnsi="Arial" w:eastAsia="等线" w:cs="Arial"/>
          <w:sz w:val="22"/>
        </w:rPr>
        <w:t>光栅保护：工作站在旋转工作台周边配置专用光栅保护装置，该装置属于主动安全防护组件。当设备启动旋转动作时，光栅保护系统同步激活，对旋转危险区域进行实时监测。若有人员身体部位或异物进入监测区域，光栅系统将立即发送触发信号，启动设备紧急停机程序，有效规避旋转部件对人员造成的伤害，防范安全事故发生，保障操作人员人身安全。</w:t>
      </w:r>
    </w:p>
    <w:p w14:paraId="523935B5">
      <w:pPr>
        <w:numPr>
          <w:ilvl w:val="0"/>
          <w:numId w:val="5"/>
        </w:numPr>
        <w:spacing w:before="120" w:after="120" w:line="288" w:lineRule="auto"/>
        <w:jc w:val="left"/>
      </w:pPr>
      <w:r>
        <w:rPr>
          <w:rFonts w:ascii="Arial" w:hAnsi="Arial" w:eastAsia="等线" w:cs="Arial"/>
          <w:sz w:val="22"/>
        </w:rPr>
        <w:t>原点复位保护：为保障设备运行安全及操作规范性，设备完成每一轮旋转作业后，旋转工作台需按照预设程序退出旋转危险区域，回归至初始待命位置；同时，悬吊式工装抓手需精准回归至预设原点位置，待两者均完成复位后，设备控制系统方可允许启动下一轮作业，避免因部件位置偏差引发设备故障或安全隐患。</w:t>
      </w:r>
    </w:p>
    <w:p w14:paraId="69093E56">
      <w:pPr>
        <w:spacing w:before="320" w:after="120" w:line="288" w:lineRule="auto"/>
        <w:jc w:val="left"/>
        <w:outlineLvl w:val="1"/>
      </w:pPr>
      <w:bookmarkStart w:id="3" w:name="heading_3"/>
      <w:r>
        <w:rPr>
          <w:rFonts w:ascii="Arial" w:hAnsi="Arial" w:eastAsia="等线" w:cs="Arial"/>
          <w:b/>
          <w:sz w:val="32"/>
        </w:rPr>
        <w:t>四、辅助功能与适配说明</w:t>
      </w:r>
      <w:bookmarkEnd w:id="3"/>
    </w:p>
    <w:p w14:paraId="58F5277F">
      <w:pPr>
        <w:numPr>
          <w:ilvl w:val="0"/>
          <w:numId w:val="6"/>
        </w:numPr>
        <w:spacing w:before="120" w:after="120" w:line="288" w:lineRule="auto"/>
        <w:jc w:val="left"/>
      </w:pPr>
      <w:r>
        <w:rPr>
          <w:rFonts w:ascii="Arial" w:hAnsi="Arial" w:eastAsia="等线" w:cs="Arial"/>
          <w:sz w:val="22"/>
        </w:rPr>
        <w:t>除烟尘处理：焊接过程中会产生大量焊接烟尘，该类烟尘不仅会污染作业环境，还可能对操作人员身体健康造成危害。为此，工作站顶部专门配备高效除烟尘装置，该装置可实时捕捉焊接过程中产生的烟尘，经过滤、净化处理后排放，有效改善作业区域空气质量，为操作人员提供安全、舒适的作业环境，同时满足环保作业相关要求。</w:t>
      </w:r>
    </w:p>
    <w:p w14:paraId="08BFBB06">
      <w:pPr>
        <w:numPr>
          <w:ilvl w:val="0"/>
          <w:numId w:val="7"/>
        </w:numPr>
        <w:spacing w:before="120" w:after="120" w:line="288" w:lineRule="auto"/>
        <w:jc w:val="left"/>
      </w:pPr>
      <w:r>
        <w:rPr>
          <w:rFonts w:ascii="Arial" w:hAnsi="Arial" w:eastAsia="等线" w:cs="Arial"/>
          <w:sz w:val="22"/>
        </w:rPr>
        <w:t>产品适配性：本自动焊接站定位为单一产品快速加工设备，其固定工装、焊接参数等均针对特定规格产品进行优化设置，可确保加工效率与焊接质量达标。若生产需求发生变更，需更换加工产品样式时，需对旋转工作台上的专用固定工装进行对应更换。工装更换完成后，需对工装定位精度、夹持力度等参数进行调试，确认工装与新产品适配无误后，方可启动设备开展生产作业，避免因工装不匹配影响产品质量或设备正常运行。</w:t>
      </w:r>
    </w:p>
    <w:p w14:paraId="7082D667">
      <w:pPr>
        <w:spacing w:before="320" w:after="120" w:line="288" w:lineRule="auto"/>
        <w:jc w:val="left"/>
        <w:outlineLvl w:val="1"/>
      </w:pPr>
      <w:bookmarkStart w:id="4" w:name="heading_4"/>
      <w:r>
        <w:rPr>
          <w:rFonts w:ascii="Arial" w:hAnsi="Arial" w:eastAsia="等线" w:cs="Arial"/>
          <w:b/>
          <w:sz w:val="32"/>
        </w:rPr>
        <w:t>五、注意事项</w:t>
      </w:r>
      <w:bookmarkEnd w:id="4"/>
    </w:p>
    <w:p w14:paraId="7EDABCDE">
      <w:pPr>
        <w:spacing w:before="120" w:after="120" w:line="288" w:lineRule="auto"/>
        <w:jc w:val="left"/>
      </w:pPr>
      <w:r>
        <w:rPr>
          <w:rFonts w:ascii="Arial" w:hAnsi="Arial" w:eastAsia="等线" w:cs="Arial"/>
          <w:sz w:val="22"/>
        </w:rPr>
        <w:t>1. 工件固定阶段，需确保工件夹持牢固、定位精准，操作人员需对夹持部位逐一进行检查，防止焊接过程中工件出现松动、偏移等问题，避免影响焊接精度及产品质量，同时防范因工件松动引发的设备卡滞、损坏等安全隐患；</w:t>
      </w:r>
    </w:p>
    <w:p w14:paraId="643AD3D2">
      <w:pPr>
        <w:spacing w:before="120" w:after="120" w:line="288" w:lineRule="auto"/>
        <w:jc w:val="left"/>
      </w:pPr>
      <w:r>
        <w:rPr>
          <w:rFonts w:ascii="Arial" w:hAnsi="Arial" w:eastAsia="等线" w:cs="Arial"/>
          <w:sz w:val="22"/>
        </w:rPr>
        <w:t>2. 工装抓手执行工件翻转动作时，操作人员需严格远离翻转区域，严禁在抓手动作过程中靠近或触碰工件及抓手部件，待抓手完成翻转并精准回归原点后，方可开展后续工件固定操作，防范夹伤、碰撞等安全事故发生；</w:t>
      </w:r>
    </w:p>
    <w:p w14:paraId="5EEADFAE">
      <w:pPr>
        <w:spacing w:before="120" w:after="120" w:line="288" w:lineRule="auto"/>
        <w:jc w:val="left"/>
        <w:rPr>
          <w:rFonts w:ascii="Arial" w:hAnsi="Arial" w:eastAsia="等线" w:cs="Arial"/>
          <w:sz w:val="22"/>
        </w:rPr>
      </w:pPr>
      <w:r>
        <w:rPr>
          <w:rFonts w:ascii="Arial" w:hAnsi="Arial" w:eastAsia="等线" w:cs="Arial"/>
          <w:sz w:val="22"/>
        </w:rPr>
        <w:t>3. 更换固定工装时，需先关闭设备总电源，待设备完全停止运转、各部件处于静止状态后，再开展工装拆卸与安装操作，确保操作安全；工装更换完成后，需进行空载调试及试焊测试，确认工装适配、设备运行正常后，方可正式启动生产作业。</w:t>
      </w:r>
    </w:p>
    <w:p w14:paraId="6BDE21AA">
      <w:pPr>
        <w:spacing w:before="120" w:after="120" w:line="288" w:lineRule="auto"/>
        <w:jc w:val="left"/>
        <w:rPr>
          <w:rFonts w:hint="eastAsia" w:ascii="Arial" w:hAnsi="Arial" w:eastAsia="等线" w:cs="Arial"/>
          <w:sz w:val="22"/>
          <w:lang w:val="en-US" w:eastAsia="zh-CN"/>
        </w:rPr>
      </w:pPr>
      <w:r>
        <w:rPr>
          <w:rFonts w:hint="eastAsia" w:ascii="Arial" w:hAnsi="Arial" w:eastAsia="等线" w:cs="Arial"/>
          <w:sz w:val="22"/>
          <w:lang w:val="en-US" w:eastAsia="zh-CN"/>
        </w:rPr>
        <w:t>4.工件尺寸样式多，要求工装夹具不宜太多，一种夹具兼容几种工件。</w:t>
      </w:r>
    </w:p>
    <w:p w14:paraId="4C771325">
      <w:pPr>
        <w:spacing w:before="120" w:after="120" w:line="288" w:lineRule="auto"/>
        <w:jc w:val="left"/>
        <w:rPr>
          <w:rFonts w:hint="default" w:ascii="Arial" w:hAnsi="Arial" w:eastAsia="等线" w:cs="Arial"/>
          <w:sz w:val="22"/>
          <w:lang w:val="en-US" w:eastAsia="zh-CN"/>
        </w:rPr>
      </w:pPr>
      <w:r>
        <w:rPr>
          <w:rFonts w:hint="eastAsia" w:ascii="Arial" w:hAnsi="Arial" w:eastAsia="等线" w:cs="Arial"/>
          <w:sz w:val="22"/>
          <w:lang w:val="en-US" w:eastAsia="zh-CN"/>
        </w:rPr>
        <w:t>5.具体细节方案需要现场根据场地环境，工件规格另行研讨。</w:t>
      </w:r>
    </w:p>
    <w:p w14:paraId="49CEAF81">
      <w:pPr>
        <w:spacing w:before="120" w:after="120" w:line="288" w:lineRule="auto"/>
        <w:ind w:left="3780" w:hanging="3780" w:hangingChars="1800"/>
        <w:jc w:val="left"/>
        <w:rPr>
          <w:rFonts w:hint="eastAsia"/>
          <w:b/>
          <w:bCs/>
          <w:lang w:val="en-US" w:eastAsia="zh-CN"/>
        </w:rPr>
      </w:pPr>
      <w:r>
        <w:rPr>
          <w:rFonts w:hint="eastAsia" w:eastAsiaTheme="minorEastAsia"/>
          <w:lang w:eastAsia="zh-CN"/>
        </w:rPr>
        <w:drawing>
          <wp:inline distT="0" distB="0" distL="114300" distR="114300">
            <wp:extent cx="5272405" cy="4558030"/>
            <wp:effectExtent l="0" t="0" r="4445" b="4445"/>
            <wp:docPr id="4" name="图片 4" descr="c9f06c73-5ab2-4854-988a-973b6edb7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9f06c73-5ab2-4854-988a-973b6edb7158"/>
                    <pic:cNvPicPr>
                      <a:picLocks noChangeAspect="1"/>
                    </pic:cNvPicPr>
                  </pic:nvPicPr>
                  <pic:blipFill>
                    <a:blip r:embed="rId4"/>
                    <a:stretch>
                      <a:fillRect/>
                    </a:stretch>
                  </pic:blipFill>
                  <pic:spPr>
                    <a:xfrm>
                      <a:off x="0" y="0"/>
                      <a:ext cx="5272405" cy="4558030"/>
                    </a:xfrm>
                    <a:prstGeom prst="rect">
                      <a:avLst/>
                    </a:prstGeom>
                  </pic:spPr>
                </pic:pic>
              </a:graphicData>
            </a:graphic>
          </wp:inline>
        </w:drawing>
      </w:r>
      <w:r>
        <w:rPr>
          <w:rFonts w:hint="eastAsia"/>
          <w:b/>
          <w:bCs/>
          <w:lang w:val="en-US" w:eastAsia="zh-CN"/>
        </w:rPr>
        <w:t>方案概况</w:t>
      </w:r>
    </w:p>
    <w:p w14:paraId="1D9E9F44">
      <w:pPr>
        <w:spacing w:before="120" w:after="120" w:line="288" w:lineRule="auto"/>
        <w:ind w:left="3780" w:hanging="3795" w:hangingChars="1800"/>
        <w:jc w:val="left"/>
        <w:rPr>
          <w:rFonts w:hint="eastAsia"/>
          <w:b/>
          <w:bCs/>
          <w:lang w:val="en-US" w:eastAsia="zh-CN"/>
        </w:rPr>
      </w:pPr>
    </w:p>
    <w:p w14:paraId="2CA37DB1">
      <w:pPr>
        <w:spacing w:before="120" w:after="120" w:line="288" w:lineRule="auto"/>
        <w:ind w:left="3780" w:hanging="3795" w:hangingChars="1800"/>
        <w:jc w:val="left"/>
        <w:rPr>
          <w:rFonts w:hint="default"/>
          <w:b/>
          <w:bCs/>
          <w:lang w:val="en-US" w:eastAsia="zh-CN"/>
        </w:rPr>
      </w:pPr>
    </w:p>
    <w:p w14:paraId="1A521136">
      <w:pPr>
        <w:spacing w:before="120" w:after="120" w:line="288" w:lineRule="auto"/>
        <w:jc w:val="left"/>
        <w:rPr>
          <w:rFonts w:hint="eastAsia" w:eastAsiaTheme="minorEastAsia"/>
          <w:lang w:val="en-US" w:eastAsia="zh-CN"/>
        </w:rPr>
      </w:pPr>
      <w:r>
        <w:drawing>
          <wp:inline distT="0" distB="0" distL="114300" distR="114300">
            <wp:extent cx="2245360" cy="1480820"/>
            <wp:effectExtent l="0" t="0" r="254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2245360" cy="148082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486535" cy="1450975"/>
            <wp:effectExtent l="0" t="0" r="889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1486535" cy="1450975"/>
                    </a:xfrm>
                    <a:prstGeom prst="rect">
                      <a:avLst/>
                    </a:prstGeom>
                    <a:noFill/>
                    <a:ln>
                      <a:noFill/>
                    </a:ln>
                  </pic:spPr>
                </pic:pic>
              </a:graphicData>
            </a:graphic>
          </wp:inline>
        </w:drawing>
      </w:r>
      <w:r>
        <w:object>
          <v:shape id="_x0000_i1027" o:spt="75" type="#_x0000_t75" style="height:32.45pt;width:57.7pt;" o:ole="t" filled="f" o:preferrelative="t" stroked="f" coordsize="21600,21600">
            <v:fill on="f" focussize="0,0"/>
            <v:stroke on="f"/>
            <v:imagedata r:id="rId8" o:title=""/>
            <o:lock v:ext="edit" aspectratio="t"/>
            <w10:wrap type="none"/>
            <w10:anchorlock/>
          </v:shape>
          <o:OLEObject Type="Embed" ProgID="Package" ShapeID="_x0000_i1027" DrawAspect="Content" ObjectID="_1468075725" r:id="rId7">
            <o:LockedField>false</o:LockedField>
          </o:OLEObject>
        </w:object>
      </w:r>
      <w:r>
        <w:object>
          <v:shape id="_x0000_i1028" o:spt="75" type="#_x0000_t75" style="height:32.45pt;width:57.7pt;" o:ole="t" filled="f" o:preferrelative="t" stroked="f" coordsize="21600,21600">
            <v:fill on="f" focussize="0,0"/>
            <v:stroke on="f"/>
            <v:imagedata r:id="rId10" o:title=""/>
            <o:lock v:ext="edit" aspectratio="t"/>
            <w10:wrap type="none"/>
            <w10:anchorlock/>
          </v:shape>
          <o:OLEObject Type="Embed" ProgID="Package" ShapeID="_x0000_i1028" DrawAspect="Content" ObjectID="_1468075726" r:id="rId9">
            <o:LockedField>false</o:LockedField>
          </o:OLEObject>
        </w:object>
      </w:r>
    </w:p>
    <w:p w14:paraId="55FBAB4F">
      <w:pPr>
        <w:spacing w:before="120" w:after="120" w:line="288" w:lineRule="auto"/>
        <w:jc w:val="left"/>
        <w:rPr>
          <w:rFonts w:hint="eastAsia" w:eastAsiaTheme="minorEastAsia"/>
          <w:lang w:val="en-US" w:eastAsia="zh-CN"/>
        </w:rPr>
      </w:pPr>
      <w:bookmarkStart w:id="5" w:name="_GoBack"/>
      <w:bookmarkEnd w:id="5"/>
    </w:p>
    <w:sectPr>
      <w:pgSz w:w="11905" w:h="16840"/>
      <w:pgMar w:top="1440" w:right="1800" w:bottom="1440" w:left="180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B712E0E"/>
    <w:multiLevelType w:val="multilevel"/>
    <w:tmpl w:val="0B712E0E"/>
    <w:lvl w:ilvl="0" w:tentative="0">
      <w:start w:val="1"/>
      <w:numFmt w:val="decimal"/>
      <w:lvlText w:val="%1."/>
      <w:lvlJc w:val="left"/>
      <w:rPr>
        <w:color w:val="3370FF"/>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2F78598F"/>
    <w:multiLevelType w:val="multilevel"/>
    <w:tmpl w:val="2F78598F"/>
    <w:lvl w:ilvl="0" w:tentative="0">
      <w:start w:val="2"/>
      <w:numFmt w:val="decimal"/>
      <w:lvlText w:val="%1."/>
      <w:lvlJc w:val="left"/>
      <w:rPr>
        <w:color w:val="3370FF"/>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
    <w:nsid w:val="31FC4C6F"/>
    <w:multiLevelType w:val="multilevel"/>
    <w:tmpl w:val="31FC4C6F"/>
    <w:lvl w:ilvl="0" w:tentative="0">
      <w:start w:val="0"/>
      <w:numFmt w:val="bullet"/>
      <w:lvlText w:val="•"/>
      <w:lvlJc w:val="left"/>
      <w:rPr>
        <w:color w:val="3370FF"/>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
    <w:nsid w:val="32007790"/>
    <w:multiLevelType w:val="multilevel"/>
    <w:tmpl w:val="32007790"/>
    <w:lvl w:ilvl="0" w:tentative="0">
      <w:start w:val="3"/>
      <w:numFmt w:val="decimal"/>
      <w:lvlText w:val="%1."/>
      <w:lvlJc w:val="left"/>
      <w:rPr>
        <w:color w:val="3370FF"/>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
    <w:nsid w:val="35A124F0"/>
    <w:multiLevelType w:val="multilevel"/>
    <w:tmpl w:val="35A124F0"/>
    <w:lvl w:ilvl="0" w:tentative="0">
      <w:start w:val="0"/>
      <w:numFmt w:val="bullet"/>
      <w:lvlText w:val="•"/>
      <w:lvlJc w:val="left"/>
      <w:rPr>
        <w:color w:val="3370FF"/>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
    <w:nsid w:val="3BC41C07"/>
    <w:multiLevelType w:val="multilevel"/>
    <w:tmpl w:val="3BC41C07"/>
    <w:lvl w:ilvl="0" w:tentative="0">
      <w:start w:val="0"/>
      <w:numFmt w:val="bullet"/>
      <w:lvlText w:val="•"/>
      <w:lvlJc w:val="left"/>
      <w:rPr>
        <w:color w:val="3370FF"/>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
    <w:nsid w:val="5B454163"/>
    <w:multiLevelType w:val="multilevel"/>
    <w:tmpl w:val="5B454163"/>
    <w:lvl w:ilvl="0" w:tentative="0">
      <w:start w:val="0"/>
      <w:numFmt w:val="bullet"/>
      <w:lvlText w:val="•"/>
      <w:lvlJc w:val="left"/>
      <w:rPr>
        <w:color w:val="3370FF"/>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0"/>
  </w:num>
  <w:num w:numId="2">
    <w:abstractNumId w:val="1"/>
  </w:num>
  <w:num w:numId="3">
    <w:abstractNumId w:val="3"/>
  </w:num>
  <w:num w:numId="4">
    <w:abstractNumId w:val="5"/>
  </w:num>
  <w:num w:numId="5">
    <w:abstractNumId w:val="2"/>
  </w:num>
  <w:num w:numId="6">
    <w:abstractNumId w:val="4"/>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bordersDoNotSurroundHeader w:val="1"/>
  <w:bordersDoNotSurroundFooter w:val="1"/>
  <w:documentProtection w:enforcement="0"/>
  <w:defaultTabStop w:val="420"/>
  <w:characterSpacingControl w:val="doNotCompress"/>
  <w:compat>
    <w:useFELayout/>
    <w:compatSetting w:name="compatibilityMode" w:uri="http://schemas.microsoft.com/office/word" w:val="12"/>
  </w:compat>
  <w:rsids>
    <w:rsidRoot w:val="007F3EB0"/>
    <w:rsid w:val="00333AD2"/>
    <w:rsid w:val="007F3EB0"/>
    <w:rsid w:val="00C56640"/>
    <w:rsid w:val="0635073A"/>
    <w:rsid w:val="0E35096D"/>
    <w:rsid w:val="11AE08F2"/>
    <w:rsid w:val="15B4486D"/>
    <w:rsid w:val="314A2E16"/>
    <w:rsid w:val="6BC36BC0"/>
    <w:rsid w:val="728D7A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semiHidden/>
    <w:unhideWhenUsed/>
    <w:uiPriority w:val="99"/>
    <w:pPr>
      <w:tabs>
        <w:tab w:val="center" w:pos="4153"/>
        <w:tab w:val="right" w:pos="8306"/>
      </w:tabs>
      <w:snapToGrid w:val="0"/>
      <w:jc w:val="left"/>
    </w:pPr>
    <w:rPr>
      <w:sz w:val="18"/>
      <w:szCs w:val="18"/>
    </w:rPr>
  </w:style>
  <w:style w:type="paragraph" w:styleId="3">
    <w:name w:val="header"/>
    <w:basedOn w:val="1"/>
    <w:link w:val="6"/>
    <w:semiHidden/>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semiHidden/>
    <w:uiPriority w:val="99"/>
    <w:rPr>
      <w:sz w:val="18"/>
      <w:szCs w:val="18"/>
    </w:rPr>
  </w:style>
  <w:style w:type="character" w:customStyle="1" w:styleId="7">
    <w:name w:val="页脚 Char"/>
    <w:basedOn w:val="5"/>
    <w:link w:val="2"/>
    <w:semiHidden/>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4.emf"/><Relationship Id="rId7" Type="http://schemas.openxmlformats.org/officeDocument/2006/relationships/oleObject" Target="embeddings/oleObject1.bin"/><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image" Target="media/image5.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China</Company>
  <Pages>3</Pages>
  <Words>1794</Words>
  <Characters>1806</Characters>
  <Lines>12</Lines>
  <Paragraphs>3</Paragraphs>
  <TotalTime>23</TotalTime>
  <ScaleCrop>false</ScaleCrop>
  <LinksUpToDate>false</LinksUpToDate>
  <CharactersWithSpaces>1816</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2026-05-18T23:34:00Z</dcterms:created>
  <dc:creator>Apache POI</dc:creator>
  <cp:lastModifiedBy>༺༽༾ཊ忧灵ཏ༿༼༻</cp:lastModifiedBy>
  <dcterms:modified xsi:type="dcterms:W3CDTF">2026-05-19T06:18:33Z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eyJoZGlkIjoiN2I5NDkxMWQ4NjJkMTA2MmZiZTAwMGYyMmNkYjlmNmQiLCJ1c2VySWQiOiIxMDM1NjMyMDM0In0=</vt:lpwstr>
  </property>
  <property fmtid="{D5CDD505-2E9C-101B-9397-08002B2CF9AE}" pid="3" name="KSOProductBuildVer">
    <vt:lpwstr>2052-12.1.0.26375</vt:lpwstr>
  </property>
  <property fmtid="{D5CDD505-2E9C-101B-9397-08002B2CF9AE}" pid="4" name="ICV">
    <vt:lpwstr>85193044FBF34D4FAF23C33DFC629DA2_12</vt:lpwstr>
  </property>
</Properties>
</file>